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7A819"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4A673159"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7D9C0D2A"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567333D6" w14:textId="5B061B9A"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145DC2C8" w14:textId="6C063258"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44C642F1" w14:textId="2153653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175EAA2D" w14:textId="77777777" w:rsidR="001F341E" w:rsidRDefault="001F341E"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2275CD04"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62AB270D" w14:textId="77777777" w:rsidR="004A5D00" w:rsidRDefault="004A5D00" w:rsidP="00A96205">
      <w:pPr>
        <w:pStyle w:val="Odstavecseseznamem"/>
        <w:numPr>
          <w:ilvl w:val="0"/>
          <w:numId w:val="0"/>
        </w:numPr>
        <w:spacing w:line="360" w:lineRule="auto"/>
        <w:ind w:left="356"/>
        <w:jc w:val="center"/>
        <w:rPr>
          <w:rFonts w:ascii="Times New Roman" w:hAnsi="Times New Roman" w:cs="Times New Roman"/>
          <w:b/>
          <w:bCs/>
          <w:sz w:val="40"/>
          <w:szCs w:val="40"/>
        </w:rPr>
      </w:pPr>
    </w:p>
    <w:p w14:paraId="02F0F839" w14:textId="1C46C974" w:rsidR="00C646EF" w:rsidRPr="00A96205" w:rsidRDefault="004A5D00" w:rsidP="00464C4B">
      <w:pPr>
        <w:pStyle w:val="Odstavecseseznamem"/>
        <w:numPr>
          <w:ilvl w:val="0"/>
          <w:numId w:val="0"/>
        </w:numPr>
        <w:jc w:val="center"/>
        <w:rPr>
          <w:rFonts w:ascii="Times New Roman" w:hAnsi="Times New Roman" w:cs="Times New Roman"/>
          <w:b/>
          <w:bCs/>
          <w:sz w:val="40"/>
          <w:szCs w:val="40"/>
        </w:rPr>
      </w:pPr>
      <w:r>
        <w:rPr>
          <w:rFonts w:ascii="Times New Roman" w:hAnsi="Times New Roman" w:cs="Times New Roman"/>
          <w:b/>
          <w:bCs/>
          <w:sz w:val="40"/>
          <w:szCs w:val="40"/>
        </w:rPr>
        <w:t>Z</w:t>
      </w:r>
      <w:r w:rsidR="00C646EF" w:rsidRPr="00A96205">
        <w:rPr>
          <w:rFonts w:ascii="Times New Roman" w:hAnsi="Times New Roman" w:cs="Times New Roman"/>
          <w:b/>
          <w:bCs/>
          <w:sz w:val="40"/>
          <w:szCs w:val="40"/>
        </w:rPr>
        <w:t>vláštní smluvní ujednání</w:t>
      </w:r>
      <w:r w:rsidR="00B22B78">
        <w:rPr>
          <w:rFonts w:ascii="Times New Roman" w:hAnsi="Times New Roman" w:cs="Times New Roman"/>
          <w:b/>
          <w:bCs/>
          <w:sz w:val="40"/>
          <w:szCs w:val="40"/>
        </w:rPr>
        <w:t xml:space="preserve"> pro pojištění majetku a</w:t>
      </w:r>
      <w:r>
        <w:rPr>
          <w:rFonts w:ascii="Times New Roman" w:hAnsi="Times New Roman" w:cs="Times New Roman"/>
          <w:b/>
          <w:bCs/>
          <w:sz w:val="40"/>
          <w:szCs w:val="40"/>
        </w:rPr>
        <w:t> </w:t>
      </w:r>
      <w:r w:rsidR="00B22B78">
        <w:rPr>
          <w:rFonts w:ascii="Times New Roman" w:hAnsi="Times New Roman" w:cs="Times New Roman"/>
          <w:b/>
          <w:bCs/>
          <w:sz w:val="40"/>
          <w:szCs w:val="40"/>
        </w:rPr>
        <w:t xml:space="preserve">odpovědnosti </w:t>
      </w:r>
      <w:r>
        <w:rPr>
          <w:rFonts w:ascii="Times New Roman" w:hAnsi="Times New Roman" w:cs="Times New Roman"/>
          <w:b/>
          <w:bCs/>
          <w:sz w:val="40"/>
          <w:szCs w:val="40"/>
        </w:rPr>
        <w:t>za škodu nebo jinou újmu</w:t>
      </w:r>
    </w:p>
    <w:p w14:paraId="716F5A9A" w14:textId="77777777" w:rsidR="00C646EF" w:rsidRPr="00C646EF" w:rsidRDefault="00C646EF" w:rsidP="002F7F8D">
      <w:pPr>
        <w:pStyle w:val="Odstavecseseznamem"/>
        <w:numPr>
          <w:ilvl w:val="0"/>
          <w:numId w:val="9"/>
        </w:numPr>
        <w:spacing w:line="360" w:lineRule="auto"/>
        <w:rPr>
          <w:b/>
          <w:bCs/>
          <w:sz w:val="18"/>
          <w:szCs w:val="22"/>
        </w:rPr>
      </w:pPr>
      <w:r w:rsidRPr="00C646EF">
        <w:rPr>
          <w:sz w:val="18"/>
          <w:szCs w:val="22"/>
        </w:rPr>
        <w:br w:type="page"/>
      </w:r>
      <w:r w:rsidRPr="00C646EF">
        <w:rPr>
          <w:b/>
          <w:bCs/>
        </w:rPr>
        <w:lastRenderedPageBreak/>
        <w:t>Obecná ujednání</w:t>
      </w:r>
    </w:p>
    <w:p w14:paraId="57F3B31E" w14:textId="77777777" w:rsidR="00C646EF" w:rsidRPr="00C646EF" w:rsidRDefault="00C646EF" w:rsidP="002F7F8D">
      <w:pPr>
        <w:pStyle w:val="Odstavecseseznamem"/>
        <w:numPr>
          <w:ilvl w:val="1"/>
          <w:numId w:val="9"/>
        </w:numPr>
        <w:spacing w:line="360" w:lineRule="auto"/>
        <w:rPr>
          <w:b/>
          <w:bCs/>
        </w:rPr>
      </w:pPr>
      <w:r w:rsidRPr="00C646EF">
        <w:rPr>
          <w:b/>
          <w:bCs/>
        </w:rPr>
        <w:t xml:space="preserve">Přednost smluvních ujednání před pojistnými podmínkami </w:t>
      </w:r>
    </w:p>
    <w:p w14:paraId="3B2B6954" w14:textId="5FB67B2F" w:rsidR="00C646EF" w:rsidRDefault="00C646EF" w:rsidP="002F7F8D">
      <w:pPr>
        <w:pStyle w:val="Odstavecseseznamem"/>
        <w:numPr>
          <w:ilvl w:val="2"/>
          <w:numId w:val="9"/>
        </w:numPr>
        <w:spacing w:line="360" w:lineRule="auto"/>
        <w:ind w:left="1276" w:hanging="787"/>
      </w:pPr>
      <w:r>
        <w:t>Ujednává se, že pokud je některé ustanovení těchto smluvních ujednání v rozporu s</w:t>
      </w:r>
      <w:r w:rsidR="004A5D00">
        <w:t> </w:t>
      </w:r>
      <w:r>
        <w:t xml:space="preserve">ustanovením pojistných podmínek, zvláštních smluvních ujednání nebo doložek vztahujících se k pojistné smlouvě, pak má ustanovení těchto smluvních ujednání přednost před ustanovením pojistných podmínek nebo zvláštních smluvních ujednání. </w:t>
      </w:r>
    </w:p>
    <w:p w14:paraId="0B7496C8" w14:textId="2F4D787A" w:rsidR="00C646EF" w:rsidRDefault="00C646EF" w:rsidP="002F7F8D">
      <w:pPr>
        <w:pStyle w:val="Odstavecseseznamem"/>
        <w:numPr>
          <w:ilvl w:val="2"/>
          <w:numId w:val="9"/>
        </w:numPr>
        <w:spacing w:line="360" w:lineRule="auto"/>
        <w:ind w:left="1276" w:hanging="787"/>
      </w:pPr>
      <w:r>
        <w:t xml:space="preserve">Pokud je některé ustanovení těchto smluvních ujednání v rozporu s ustanovením vlastního textu pojistné smlouvy, má přednost to ustanovení, které je pro pojištěného výhodnější, </w:t>
      </w:r>
      <w:r w:rsidR="00615375">
        <w:br/>
      </w:r>
      <w:r>
        <w:t>není-li v pojistné smlouvě výslovně ujednáno jinak.</w:t>
      </w:r>
    </w:p>
    <w:p w14:paraId="12C93347" w14:textId="77777777" w:rsidR="00C646EF" w:rsidRPr="00C646EF" w:rsidRDefault="00C646EF" w:rsidP="002F7F8D">
      <w:pPr>
        <w:pStyle w:val="Odstavecseseznamem"/>
        <w:numPr>
          <w:ilvl w:val="0"/>
          <w:numId w:val="9"/>
        </w:numPr>
        <w:spacing w:line="360" w:lineRule="auto"/>
        <w:rPr>
          <w:b/>
          <w:bCs/>
        </w:rPr>
      </w:pPr>
      <w:r w:rsidRPr="00C646EF">
        <w:rPr>
          <w:b/>
          <w:bCs/>
        </w:rPr>
        <w:t>Pojištění majetku a přerušení provozu</w:t>
      </w:r>
    </w:p>
    <w:p w14:paraId="4BC0DC3F" w14:textId="77777777" w:rsidR="00C646EF" w:rsidRPr="00C646EF" w:rsidRDefault="00C646EF" w:rsidP="002F7F8D">
      <w:pPr>
        <w:pStyle w:val="Odstavecseseznamem"/>
        <w:numPr>
          <w:ilvl w:val="1"/>
          <w:numId w:val="9"/>
        </w:numPr>
        <w:spacing w:line="360" w:lineRule="auto"/>
        <w:rPr>
          <w:b/>
          <w:bCs/>
        </w:rPr>
      </w:pPr>
      <w:r w:rsidRPr="00C646EF">
        <w:rPr>
          <w:b/>
          <w:bCs/>
        </w:rPr>
        <w:t>Akceptace celkové pojistné částky souborů pojištěných věcí</w:t>
      </w:r>
    </w:p>
    <w:p w14:paraId="40CE323B" w14:textId="77777777" w:rsidR="00C646EF" w:rsidRDefault="00C646EF" w:rsidP="002F7F8D">
      <w:pPr>
        <w:pStyle w:val="Odstavecseseznamem"/>
        <w:numPr>
          <w:ilvl w:val="2"/>
          <w:numId w:val="9"/>
        </w:numPr>
        <w:spacing w:line="360" w:lineRule="auto"/>
        <w:ind w:left="1276" w:hanging="787"/>
      </w:pPr>
      <w:r>
        <w:t xml:space="preserve">Pojistitel nebude požadovat separátní uvedení pojistných částek pro vlastní a cizí movitý majetek uvedený v pojistné smlouvě (akceptuje celkovou pojistnou částku souborů pojištěných věcí). </w:t>
      </w:r>
    </w:p>
    <w:p w14:paraId="4169D700" w14:textId="52414250" w:rsidR="00C646EF" w:rsidRDefault="00C646EF" w:rsidP="002F7F8D">
      <w:pPr>
        <w:pStyle w:val="Odstavecseseznamem"/>
        <w:numPr>
          <w:ilvl w:val="2"/>
          <w:numId w:val="9"/>
        </w:numPr>
        <w:spacing w:line="360" w:lineRule="auto"/>
        <w:ind w:left="1276" w:hanging="787"/>
      </w:pPr>
      <w:r>
        <w:t>Informační (oznamovací) povinnost pojištěného/pojistníka vůči pojistiteli je v případě právnické osoby plněna pouze prostřednictvím vedení společnosti a</w:t>
      </w:r>
      <w:r w:rsidR="004A5D00">
        <w:t> </w:t>
      </w:r>
      <w:r>
        <w:t>osob k plnění informační povinnosti vedením určených. Pro účely posouzení porušení informační (oznamovací) povinnosti pojištěného/pojistníka vůči pojistiteli se v případě právnické osoby vychází výhradně z jednání vedení společnosti a osob k plnění informační povinnosti vedením určených. Za vedení společnosti se považuje statutární orgán (příp. jeho členové) a osoby do svých funkcí statutárním orgánem jmenované.</w:t>
      </w:r>
    </w:p>
    <w:p w14:paraId="146A057A" w14:textId="77777777" w:rsidR="00C646EF" w:rsidRPr="00C646EF" w:rsidRDefault="00C646EF" w:rsidP="002F7F8D">
      <w:pPr>
        <w:pStyle w:val="Odstavecseseznamem"/>
        <w:numPr>
          <w:ilvl w:val="1"/>
          <w:numId w:val="9"/>
        </w:numPr>
        <w:spacing w:line="360" w:lineRule="auto"/>
        <w:rPr>
          <w:b/>
          <w:bCs/>
        </w:rPr>
      </w:pPr>
      <w:r w:rsidRPr="00C646EF">
        <w:rPr>
          <w:b/>
          <w:bCs/>
        </w:rPr>
        <w:t>Automatické pojištění nového majetku</w:t>
      </w:r>
    </w:p>
    <w:p w14:paraId="4260D111" w14:textId="77777777" w:rsidR="00C646EF" w:rsidRDefault="00C646EF" w:rsidP="002F7F8D">
      <w:pPr>
        <w:pStyle w:val="Odstavecseseznamem"/>
        <w:numPr>
          <w:ilvl w:val="2"/>
          <w:numId w:val="9"/>
        </w:numPr>
        <w:spacing w:line="360" w:lineRule="auto"/>
        <w:ind w:left="1276" w:hanging="787"/>
      </w:pPr>
      <w:r>
        <w:t>Ujednává se, že veškerý nový majetek patřící svým charakterem mezi pojištěné věci, který pojištěný nabude v průběhu pojistného období, je automaticky zahrnut do pojištění. Zvýší-li se tím pojistná částka o méně než 15 %, nebude pojistitel zpětně požadovat doplatek pojistného a nebude namítat podpojištění. Pojištěný je povinen oznámit navýšení pojistných částek, pokud dojde ke zvýšení hodnoty pojištěných věcí v průběhu pojistného období o více než 15 %. Pojistitel se zavazuje účtovat dodatečné pojistné vypočtené pojistnou sazbou použitou pro výpočet pojistného uvedeného v pojistné smlouvě.</w:t>
      </w:r>
    </w:p>
    <w:p w14:paraId="1741586A" w14:textId="77777777" w:rsidR="00C646EF" w:rsidRPr="00C646EF" w:rsidRDefault="00C646EF" w:rsidP="002F7F8D">
      <w:pPr>
        <w:pStyle w:val="Odstavecseseznamem"/>
        <w:numPr>
          <w:ilvl w:val="1"/>
          <w:numId w:val="9"/>
        </w:numPr>
        <w:spacing w:line="360" w:lineRule="auto"/>
        <w:rPr>
          <w:b/>
          <w:bCs/>
        </w:rPr>
      </w:pPr>
      <w:r w:rsidRPr="00C646EF">
        <w:rPr>
          <w:b/>
          <w:bCs/>
        </w:rPr>
        <w:t>Pojistné plnění – lze poskytnout pouze formou peněžní náhrady</w:t>
      </w:r>
    </w:p>
    <w:p w14:paraId="40E988D0" w14:textId="77777777" w:rsidR="00C646EF" w:rsidRPr="00C646EF" w:rsidRDefault="00C646EF" w:rsidP="002F7F8D">
      <w:pPr>
        <w:pStyle w:val="Odstavecseseznamem"/>
        <w:numPr>
          <w:ilvl w:val="1"/>
          <w:numId w:val="9"/>
        </w:numPr>
        <w:spacing w:line="360" w:lineRule="auto"/>
        <w:rPr>
          <w:b/>
          <w:bCs/>
        </w:rPr>
      </w:pPr>
      <w:r w:rsidRPr="00C646EF">
        <w:rPr>
          <w:b/>
          <w:bCs/>
        </w:rPr>
        <w:t>Tolerance podpojištění</w:t>
      </w:r>
    </w:p>
    <w:p w14:paraId="5A327724" w14:textId="77777777" w:rsidR="00C646EF" w:rsidRDefault="00C646EF" w:rsidP="002F7F8D">
      <w:pPr>
        <w:pStyle w:val="Odstavecseseznamem"/>
        <w:numPr>
          <w:ilvl w:val="2"/>
          <w:numId w:val="9"/>
        </w:numPr>
        <w:spacing w:line="360" w:lineRule="auto"/>
        <w:ind w:left="1276" w:hanging="787"/>
      </w:pPr>
      <w:r>
        <w:t xml:space="preserve">Ujednává se, že pokud pojistná částka v době pojistné události není nižší o více než 15% než částka odpovídající pojistné hodnotě pojištěné věci nebo souboru věcí, nebude pojistitel namítat podpojištění. </w:t>
      </w:r>
    </w:p>
    <w:p w14:paraId="5D118947" w14:textId="77777777" w:rsidR="00C646EF" w:rsidRPr="00C646EF" w:rsidRDefault="00C646EF" w:rsidP="002F7F8D">
      <w:pPr>
        <w:pStyle w:val="Odstavecseseznamem"/>
        <w:numPr>
          <w:ilvl w:val="1"/>
          <w:numId w:val="9"/>
        </w:numPr>
        <w:spacing w:line="360" w:lineRule="auto"/>
        <w:rPr>
          <w:b/>
          <w:bCs/>
        </w:rPr>
      </w:pPr>
      <w:r w:rsidRPr="00C646EF">
        <w:rPr>
          <w:b/>
          <w:bCs/>
        </w:rPr>
        <w:t>Plnění pojistitele bez odpočtu opotřebení</w:t>
      </w:r>
    </w:p>
    <w:p w14:paraId="04CC4389" w14:textId="02BCAF14" w:rsidR="00C646EF" w:rsidRDefault="00C646EF" w:rsidP="002F7F8D">
      <w:pPr>
        <w:pStyle w:val="Odstavecseseznamem"/>
        <w:numPr>
          <w:ilvl w:val="2"/>
          <w:numId w:val="9"/>
        </w:numPr>
        <w:spacing w:line="360" w:lineRule="auto"/>
        <w:ind w:left="1276" w:hanging="787"/>
      </w:pPr>
      <w:r>
        <w:t>Pokud je předmět pojištění pojištěn na novou cenu, pak v případě jeho poškození, zničení nebo ztráty vyplatí pojistitel náklad na jeho znovupořízení v době pojistné události bez</w:t>
      </w:r>
      <w:r w:rsidR="004A5D00">
        <w:t> </w:t>
      </w:r>
      <w:r>
        <w:t>odpočtu opotřebení snížený o cenu případných zbytků.</w:t>
      </w:r>
    </w:p>
    <w:p w14:paraId="73916EC1" w14:textId="77777777" w:rsidR="00C646EF" w:rsidRPr="00C646EF" w:rsidRDefault="00C646EF" w:rsidP="002F7F8D">
      <w:pPr>
        <w:pStyle w:val="Odstavecseseznamem"/>
        <w:keepNext/>
        <w:numPr>
          <w:ilvl w:val="1"/>
          <w:numId w:val="9"/>
        </w:numPr>
        <w:spacing w:line="360" w:lineRule="auto"/>
        <w:ind w:left="425" w:hanging="431"/>
        <w:rPr>
          <w:b/>
          <w:bCs/>
        </w:rPr>
      </w:pPr>
      <w:r w:rsidRPr="00C646EF">
        <w:rPr>
          <w:b/>
          <w:bCs/>
        </w:rPr>
        <w:t>Akceptace pojistných částek</w:t>
      </w:r>
    </w:p>
    <w:p w14:paraId="2D52DB33" w14:textId="14309545" w:rsidR="00C646EF" w:rsidRDefault="00C646EF" w:rsidP="002F7F8D">
      <w:pPr>
        <w:pStyle w:val="Odstavecseseznamem"/>
        <w:numPr>
          <w:ilvl w:val="2"/>
          <w:numId w:val="9"/>
        </w:numPr>
        <w:spacing w:line="360" w:lineRule="auto"/>
        <w:ind w:left="1276" w:hanging="787"/>
      </w:pPr>
      <w:r>
        <w:t>Pokud je pojištění sjednáno na novou cenu, pak se pro účely této pojistné smlouvy ujednává, že ke dni sjednání pojištění odpovídají pojistné částky pojištěných věcí pojistné hodnotě a</w:t>
      </w:r>
      <w:r w:rsidR="004A5D00">
        <w:t> </w:t>
      </w:r>
      <w:r>
        <w:t>pojistitel akceptuje pojistné částky jako hodnotu nové věci ve smyslu pojistných podmínek.</w:t>
      </w:r>
    </w:p>
    <w:p w14:paraId="5EAFFB62" w14:textId="77777777" w:rsidR="00C646EF" w:rsidRPr="00506F1F" w:rsidRDefault="00C646EF" w:rsidP="002F7F8D">
      <w:pPr>
        <w:pStyle w:val="Odstavecseseznamem"/>
        <w:numPr>
          <w:ilvl w:val="1"/>
          <w:numId w:val="9"/>
        </w:numPr>
        <w:spacing w:line="360" w:lineRule="auto"/>
        <w:rPr>
          <w:b/>
          <w:bCs/>
        </w:rPr>
      </w:pPr>
      <w:r w:rsidRPr="00506F1F">
        <w:rPr>
          <w:b/>
          <w:bCs/>
        </w:rPr>
        <w:lastRenderedPageBreak/>
        <w:t>Cizí věci užívané – plnění v nových cenách</w:t>
      </w:r>
    </w:p>
    <w:p w14:paraId="204BBFDC" w14:textId="77777777" w:rsidR="00C646EF" w:rsidRDefault="00C646EF" w:rsidP="002F7F8D">
      <w:pPr>
        <w:pStyle w:val="Odstavecseseznamem"/>
        <w:numPr>
          <w:ilvl w:val="2"/>
          <w:numId w:val="9"/>
        </w:numPr>
        <w:spacing w:line="360" w:lineRule="auto"/>
        <w:ind w:left="1276" w:hanging="787"/>
      </w:pPr>
      <w:r>
        <w:t>V případě cizích věcí užívaných pojištěným se ujednává, že v případě pojistné události pojistitel poskytne plnění v nové ceně.</w:t>
      </w:r>
    </w:p>
    <w:p w14:paraId="150C2BEC" w14:textId="253FDCC8" w:rsidR="00C646EF" w:rsidRPr="00506F1F" w:rsidRDefault="00C646EF" w:rsidP="002F7F8D">
      <w:pPr>
        <w:pStyle w:val="Odstavecseseznamem"/>
        <w:numPr>
          <w:ilvl w:val="1"/>
          <w:numId w:val="9"/>
        </w:numPr>
        <w:spacing w:line="360" w:lineRule="auto"/>
        <w:rPr>
          <w:b/>
          <w:bCs/>
        </w:rPr>
      </w:pPr>
      <w:r w:rsidRPr="00506F1F">
        <w:rPr>
          <w:b/>
          <w:bCs/>
        </w:rPr>
        <w:t>Cizí věci užívané – automatické pojištění v případě přechodu vlastnictv</w:t>
      </w:r>
      <w:r w:rsidR="004A5D00">
        <w:rPr>
          <w:b/>
          <w:bCs/>
        </w:rPr>
        <w:t>í na pojištěného</w:t>
      </w:r>
    </w:p>
    <w:p w14:paraId="0EFDBDC7" w14:textId="444CE0B3" w:rsidR="00C646EF" w:rsidRDefault="00C646EF" w:rsidP="002F7F8D">
      <w:pPr>
        <w:pStyle w:val="Odstavecseseznamem"/>
        <w:numPr>
          <w:ilvl w:val="2"/>
          <w:numId w:val="9"/>
        </w:numPr>
        <w:spacing w:line="360" w:lineRule="auto"/>
        <w:ind w:left="1276" w:hanging="787"/>
      </w:pPr>
      <w:r>
        <w:t>Ujednává se, že pojištěné cizí věci, které pojištěný užívá na základě leasingových, nájemních či jiných smluv, jsou v případě převodu do vlastnictví pojištěného automaticky pojištěny v</w:t>
      </w:r>
      <w:r w:rsidR="004A5D00">
        <w:t> </w:t>
      </w:r>
      <w:r>
        <w:t>rozsahu sjednané pojistné smlouvy.</w:t>
      </w:r>
    </w:p>
    <w:p w14:paraId="376621E2" w14:textId="77777777" w:rsidR="00C646EF" w:rsidRPr="00506F1F" w:rsidRDefault="00C646EF" w:rsidP="002F7F8D">
      <w:pPr>
        <w:pStyle w:val="Odstavecseseznamem"/>
        <w:numPr>
          <w:ilvl w:val="1"/>
          <w:numId w:val="9"/>
        </w:numPr>
        <w:spacing w:line="360" w:lineRule="auto"/>
        <w:ind w:left="426"/>
        <w:rPr>
          <w:b/>
          <w:bCs/>
        </w:rPr>
      </w:pPr>
      <w:r w:rsidRPr="00506F1F">
        <w:rPr>
          <w:b/>
          <w:bCs/>
        </w:rPr>
        <w:t>Spoluúčast – pojistná událost na více souborech</w:t>
      </w:r>
    </w:p>
    <w:p w14:paraId="642EA37B" w14:textId="77777777" w:rsidR="00C646EF" w:rsidRDefault="00C646EF" w:rsidP="002F7F8D">
      <w:pPr>
        <w:pStyle w:val="Odstavecseseznamem"/>
        <w:numPr>
          <w:ilvl w:val="2"/>
          <w:numId w:val="9"/>
        </w:numPr>
        <w:spacing w:line="360" w:lineRule="auto"/>
        <w:ind w:left="1276" w:hanging="787"/>
      </w:pPr>
      <w:r>
        <w:t>V případě pojistné události na více pojištěných souborech (z téže příčiny) odečte pojistitel pouze jednu spoluúčast, a to nejvyšší sjednanou, pokud není pro klienta výhodnější odečtení spoluúčastí z jednotlivých předmětů pojištění, jichž se pojistná událost týká. Toto se vztahuje také na případy, kdy pojistná událost nastane z téže příčiny na více místech pojištění.</w:t>
      </w:r>
    </w:p>
    <w:p w14:paraId="6C42915A" w14:textId="77777777" w:rsidR="00C646EF" w:rsidRPr="00506F1F" w:rsidRDefault="00C646EF" w:rsidP="002F7F8D">
      <w:pPr>
        <w:pStyle w:val="Odstavecseseznamem"/>
        <w:numPr>
          <w:ilvl w:val="1"/>
          <w:numId w:val="9"/>
        </w:numPr>
        <w:spacing w:line="360" w:lineRule="auto"/>
        <w:ind w:left="567" w:hanging="567"/>
        <w:rPr>
          <w:b/>
          <w:bCs/>
        </w:rPr>
      </w:pPr>
      <w:r w:rsidRPr="00506F1F">
        <w:rPr>
          <w:b/>
          <w:bCs/>
        </w:rPr>
        <w:t>Spoluúčast – pojistná událost vzniklá z více pojistných nebezpečí</w:t>
      </w:r>
    </w:p>
    <w:p w14:paraId="50CF2A92" w14:textId="77777777" w:rsidR="00C646EF" w:rsidRDefault="00C646EF" w:rsidP="002F7F8D">
      <w:pPr>
        <w:pStyle w:val="Odstavecseseznamem"/>
        <w:numPr>
          <w:ilvl w:val="2"/>
          <w:numId w:val="9"/>
        </w:numPr>
        <w:spacing w:line="360" w:lineRule="auto"/>
        <w:ind w:left="1276" w:hanging="787"/>
      </w:pPr>
      <w:r>
        <w:t xml:space="preserve">Ujednává se, že v případě pojistné události vzniklé působením více pojistných nebezpečí (bez ohledu na skutečnost, zda vznikne na jednom nebo na více pojištěných souborech) odečte pojistitel pouze jednu spoluúčast, a to nejnižší sjednanou. </w:t>
      </w:r>
    </w:p>
    <w:p w14:paraId="36A10D10" w14:textId="77777777" w:rsidR="00C646EF" w:rsidRPr="00506F1F" w:rsidRDefault="00C646EF" w:rsidP="002F7F8D">
      <w:pPr>
        <w:pStyle w:val="Odstavecseseznamem"/>
        <w:numPr>
          <w:ilvl w:val="0"/>
          <w:numId w:val="9"/>
        </w:numPr>
        <w:spacing w:line="360" w:lineRule="auto"/>
        <w:ind w:left="284" w:hanging="288"/>
        <w:rPr>
          <w:b/>
          <w:bCs/>
        </w:rPr>
      </w:pPr>
      <w:r w:rsidRPr="00506F1F">
        <w:rPr>
          <w:b/>
          <w:bCs/>
        </w:rPr>
        <w:t>Živelní pojištění majetku</w:t>
      </w:r>
    </w:p>
    <w:p w14:paraId="5B7EF979" w14:textId="77777777" w:rsidR="00C646EF" w:rsidRPr="00506F1F" w:rsidRDefault="00C646EF" w:rsidP="002F7F8D">
      <w:pPr>
        <w:pStyle w:val="Odstavecseseznamem"/>
        <w:numPr>
          <w:ilvl w:val="1"/>
          <w:numId w:val="9"/>
        </w:numPr>
        <w:spacing w:line="360" w:lineRule="auto"/>
        <w:rPr>
          <w:b/>
          <w:bCs/>
        </w:rPr>
      </w:pPr>
      <w:r w:rsidRPr="00506F1F">
        <w:rPr>
          <w:b/>
          <w:bCs/>
        </w:rPr>
        <w:t>Náraz dopravního prostředku</w:t>
      </w:r>
    </w:p>
    <w:p w14:paraId="31358EEB" w14:textId="77777777" w:rsidR="00C646EF" w:rsidRDefault="00C646EF" w:rsidP="002F7F8D">
      <w:pPr>
        <w:pStyle w:val="Odstavecseseznamem"/>
        <w:numPr>
          <w:ilvl w:val="2"/>
          <w:numId w:val="9"/>
        </w:numPr>
        <w:spacing w:line="360" w:lineRule="auto"/>
        <w:ind w:left="1276" w:hanging="787"/>
      </w:pPr>
      <w:r>
        <w:t>Ujednává se, že pojištění se vztahuje také na poškození nebo zničení pojištěné věci nárazem dopravního prostředku či jeho nákladu, a to i tehdy, byl-li dopravní prostředek řízen nebo provozován pojistníkem nebo pojištěným.</w:t>
      </w:r>
    </w:p>
    <w:p w14:paraId="6EB89FCA" w14:textId="58061DE2" w:rsidR="00C646EF" w:rsidRDefault="00C646EF" w:rsidP="002F7F8D">
      <w:pPr>
        <w:pStyle w:val="Odstavecseseznamem"/>
        <w:numPr>
          <w:ilvl w:val="2"/>
          <w:numId w:val="9"/>
        </w:numPr>
        <w:spacing w:line="360" w:lineRule="auto"/>
        <w:ind w:left="1276" w:hanging="787"/>
      </w:pPr>
      <w:r>
        <w:t>Pojištění se vztahuje i na poškození nebo zničení pojištěné věci nárazem nebo pádem, tj.</w:t>
      </w:r>
      <w:r w:rsidR="004A5D00">
        <w:t> </w:t>
      </w:r>
      <w:r>
        <w:t>nárazem dopravního prostředku (vyjma letadel), jeho částí nebo jeho nákladu do pojištěné věci, pádem stromů, stožárů nebo jiných věcí, bez ohledu na to, zda jsou nebo nejsou součástí poškozené věci nebo součástí téhož souboru jako poškozená věc.</w:t>
      </w:r>
    </w:p>
    <w:p w14:paraId="3BD70118" w14:textId="77777777" w:rsidR="00C646EF" w:rsidRPr="00506F1F" w:rsidRDefault="00C646EF" w:rsidP="002F7F8D">
      <w:pPr>
        <w:pStyle w:val="Odstavecseseznamem"/>
        <w:numPr>
          <w:ilvl w:val="1"/>
          <w:numId w:val="9"/>
        </w:numPr>
        <w:spacing w:line="360" w:lineRule="auto"/>
        <w:rPr>
          <w:b/>
          <w:bCs/>
        </w:rPr>
      </w:pPr>
      <w:r w:rsidRPr="00506F1F">
        <w:rPr>
          <w:b/>
          <w:bCs/>
        </w:rPr>
        <w:t xml:space="preserve">Pád stromů, stožárů nebo jiných předmětů </w:t>
      </w:r>
    </w:p>
    <w:p w14:paraId="4251C12C" w14:textId="77777777" w:rsidR="00C646EF" w:rsidRDefault="00C646EF" w:rsidP="002F7F8D">
      <w:pPr>
        <w:pStyle w:val="Odstavecseseznamem"/>
        <w:numPr>
          <w:ilvl w:val="2"/>
          <w:numId w:val="9"/>
        </w:numPr>
        <w:spacing w:line="360" w:lineRule="auto"/>
        <w:ind w:left="1276" w:hanging="787"/>
      </w:pPr>
      <w:r>
        <w:t>Ujednává se, že se pojištění vztahuje také na poškození nebo zničení pojištěných předmětů pádem stromů, stožárů nebo jiných předmětů také tehdy, jsou-li součástí poškozené věci nebo součástí téhož souboru jako poškozená věc.</w:t>
      </w:r>
    </w:p>
    <w:p w14:paraId="556C8B73" w14:textId="77777777" w:rsidR="00C646EF" w:rsidRPr="00506F1F" w:rsidRDefault="00C646EF" w:rsidP="002F7F8D">
      <w:pPr>
        <w:pStyle w:val="Odstavecseseznamem"/>
        <w:numPr>
          <w:ilvl w:val="1"/>
          <w:numId w:val="9"/>
        </w:numPr>
        <w:spacing w:line="360" w:lineRule="auto"/>
        <w:rPr>
          <w:b/>
          <w:bCs/>
        </w:rPr>
      </w:pPr>
      <w:r w:rsidRPr="00506F1F">
        <w:rPr>
          <w:b/>
          <w:bCs/>
        </w:rPr>
        <w:t>Vodovodní škody – potrubí</w:t>
      </w:r>
    </w:p>
    <w:p w14:paraId="402EAC25" w14:textId="13A6579E" w:rsidR="00506F1F" w:rsidRDefault="00C646EF" w:rsidP="002F7F8D">
      <w:pPr>
        <w:pStyle w:val="Odstavecseseznamem"/>
        <w:numPr>
          <w:ilvl w:val="2"/>
          <w:numId w:val="9"/>
        </w:numPr>
        <w:spacing w:line="360" w:lineRule="auto"/>
        <w:ind w:left="1276" w:hanging="787"/>
      </w:pPr>
      <w:r>
        <w:t>Pro pojištění vodovodních škod se ujednává také krytí škod na vodovodních či kanalizačních potrubí a zařízeních připojených na potrubí způsobených přetlakem páry nebo kapaliny nebo zamrznutím vody ve vodovodním či kanalizačním potrubí a zařízeních připojených na</w:t>
      </w:r>
      <w:r w:rsidR="004A5D00">
        <w:t> </w:t>
      </w:r>
      <w:r>
        <w:t>potrubí. Pojistitel uhradí též účelně vynaložené náklady na nalezení, odstranění závady a</w:t>
      </w:r>
      <w:r w:rsidR="004A5D00">
        <w:t> </w:t>
      </w:r>
      <w:r>
        <w:t>uvedení do</w:t>
      </w:r>
      <w:r w:rsidR="004A5D00">
        <w:t> </w:t>
      </w:r>
      <w:r>
        <w:t>původního stavu.</w:t>
      </w:r>
    </w:p>
    <w:p w14:paraId="585FC498" w14:textId="77777777" w:rsidR="00C646EF" w:rsidRPr="00506F1F" w:rsidRDefault="00C646EF" w:rsidP="002F7F8D">
      <w:pPr>
        <w:pStyle w:val="Odstavecseseznamem"/>
        <w:keepNext/>
        <w:numPr>
          <w:ilvl w:val="1"/>
          <w:numId w:val="9"/>
        </w:numPr>
        <w:spacing w:line="360" w:lineRule="auto"/>
        <w:ind w:left="425" w:hanging="431"/>
        <w:rPr>
          <w:b/>
          <w:bCs/>
        </w:rPr>
      </w:pPr>
      <w:r w:rsidRPr="00506F1F">
        <w:rPr>
          <w:b/>
          <w:bCs/>
        </w:rPr>
        <w:t>Vodovodní škody – definice vodovodního zařízení</w:t>
      </w:r>
    </w:p>
    <w:p w14:paraId="6D05F25A" w14:textId="77777777" w:rsidR="00C646EF" w:rsidRDefault="00C646EF" w:rsidP="002F7F8D">
      <w:pPr>
        <w:pStyle w:val="Odstavecseseznamem"/>
        <w:keepNext/>
        <w:numPr>
          <w:ilvl w:val="2"/>
          <w:numId w:val="9"/>
        </w:numPr>
        <w:spacing w:line="360" w:lineRule="auto"/>
        <w:ind w:left="1276" w:hanging="788"/>
      </w:pPr>
      <w:r>
        <w:t xml:space="preserve">Vodovodním zařízením se rozumí </w:t>
      </w:r>
    </w:p>
    <w:p w14:paraId="182F5F8F" w14:textId="77777777" w:rsidR="00C646EF" w:rsidRDefault="00C646EF" w:rsidP="002F7F8D">
      <w:pPr>
        <w:pStyle w:val="Odstavecseseznamem"/>
        <w:numPr>
          <w:ilvl w:val="3"/>
          <w:numId w:val="9"/>
        </w:numPr>
        <w:spacing w:line="360" w:lineRule="auto"/>
        <w:ind w:left="1843" w:hanging="767"/>
      </w:pPr>
      <w:r>
        <w:t>přívody, rozvody a odvody kapalin a páry včetně armatur, nádrží, zásobníků a zařízení na ně připojených,</w:t>
      </w:r>
    </w:p>
    <w:p w14:paraId="6C71A3F9" w14:textId="77777777" w:rsidR="00C646EF" w:rsidRDefault="00C646EF" w:rsidP="002F7F8D">
      <w:pPr>
        <w:pStyle w:val="Odstavecseseznamem"/>
        <w:numPr>
          <w:ilvl w:val="3"/>
          <w:numId w:val="9"/>
        </w:numPr>
        <w:spacing w:line="360" w:lineRule="auto"/>
        <w:ind w:left="1843" w:hanging="767"/>
      </w:pPr>
      <w:r>
        <w:t>rozvody topných, klimatizačních, zavlažovacích systémů, vnitřních dešťových svodů sprinklerových a samočinných hasicích a zařízení na ně připojených,</w:t>
      </w:r>
    </w:p>
    <w:p w14:paraId="5EAC7C0B" w14:textId="77777777" w:rsidR="00C646EF" w:rsidRDefault="00C646EF" w:rsidP="002F7F8D">
      <w:pPr>
        <w:pStyle w:val="Odstavecseseznamem"/>
        <w:numPr>
          <w:ilvl w:val="3"/>
          <w:numId w:val="9"/>
        </w:numPr>
        <w:spacing w:line="360" w:lineRule="auto"/>
        <w:ind w:left="1843" w:hanging="767"/>
      </w:pPr>
      <w:r>
        <w:lastRenderedPageBreak/>
        <w:t>vodou z technologických celků, tj. potrubí a příslušenství určené ke konkrétnímu výrobnímu nebo technologickému procesu.</w:t>
      </w:r>
    </w:p>
    <w:p w14:paraId="1A1FA41D" w14:textId="77777777" w:rsidR="00C646EF" w:rsidRPr="00506F1F" w:rsidRDefault="00C646EF" w:rsidP="002F7F8D">
      <w:pPr>
        <w:pStyle w:val="Odstavecseseznamem"/>
        <w:numPr>
          <w:ilvl w:val="1"/>
          <w:numId w:val="9"/>
        </w:numPr>
        <w:spacing w:line="360" w:lineRule="auto"/>
        <w:rPr>
          <w:b/>
          <w:bCs/>
        </w:rPr>
      </w:pPr>
      <w:r w:rsidRPr="00506F1F">
        <w:rPr>
          <w:b/>
          <w:bCs/>
        </w:rPr>
        <w:t xml:space="preserve">Tíha sněhu a námrazy </w:t>
      </w:r>
    </w:p>
    <w:p w14:paraId="4AE7B883" w14:textId="45DE3B83" w:rsidR="00C646EF" w:rsidRDefault="00C646EF" w:rsidP="002F7F8D">
      <w:pPr>
        <w:pStyle w:val="Odstavecseseznamem"/>
        <w:numPr>
          <w:ilvl w:val="2"/>
          <w:numId w:val="9"/>
        </w:numPr>
        <w:spacing w:line="360" w:lineRule="auto"/>
        <w:ind w:left="1276" w:hanging="788"/>
      </w:pPr>
      <w:r>
        <w:t>Pojištění tíhy sněhu a námrazy se vztahuje i na škody na pojištěných ostat</w:t>
      </w:r>
      <w:r w:rsidR="004A5D00">
        <w:t>ních stavbách.</w:t>
      </w:r>
    </w:p>
    <w:p w14:paraId="369E5A79" w14:textId="77777777" w:rsidR="00C646EF" w:rsidRPr="00506F1F" w:rsidRDefault="00C646EF" w:rsidP="002F7F8D">
      <w:pPr>
        <w:pStyle w:val="Odstavecseseznamem"/>
        <w:numPr>
          <w:ilvl w:val="1"/>
          <w:numId w:val="9"/>
        </w:numPr>
        <w:spacing w:line="360" w:lineRule="auto"/>
        <w:rPr>
          <w:b/>
          <w:bCs/>
        </w:rPr>
      </w:pPr>
      <w:r w:rsidRPr="00506F1F">
        <w:rPr>
          <w:b/>
          <w:bCs/>
        </w:rPr>
        <w:t>Nepřímý úder blesku, přepětí</w:t>
      </w:r>
    </w:p>
    <w:p w14:paraId="7401A879" w14:textId="11BA8E4C" w:rsidR="00C646EF" w:rsidRDefault="00C646EF" w:rsidP="002F7F8D">
      <w:pPr>
        <w:pStyle w:val="Odstavecseseznamem"/>
        <w:numPr>
          <w:ilvl w:val="2"/>
          <w:numId w:val="9"/>
        </w:numPr>
        <w:spacing w:line="360" w:lineRule="auto"/>
        <w:ind w:left="1276" w:hanging="788"/>
      </w:pPr>
      <w:r>
        <w:t>Úderem blesku se rozumí také škoda vzniklá úderem blesku bez viditelných destrukčních účinků na věci nebo na budově. Pojištění se vztahuje i na zkrat nebo přepět</w:t>
      </w:r>
      <w:r w:rsidR="00562B08">
        <w:t>í</w:t>
      </w:r>
      <w:r>
        <w:t>, podpětí v</w:t>
      </w:r>
      <w:r w:rsidR="004A5D00">
        <w:t> </w:t>
      </w:r>
      <w:r>
        <w:t>elektrorozvodné nebo komunikační síti, k němuž došlo v důsledku působení blesku na tato vedení. Škody způsobené přepětím vlivem napěťové špičky v elektrické síti jsou tímto také pojištěny.</w:t>
      </w:r>
    </w:p>
    <w:p w14:paraId="7EA925F6" w14:textId="77777777" w:rsidR="00C646EF" w:rsidRPr="00506F1F" w:rsidRDefault="00C646EF" w:rsidP="002F7F8D">
      <w:pPr>
        <w:pStyle w:val="Odstavecseseznamem"/>
        <w:numPr>
          <w:ilvl w:val="1"/>
          <w:numId w:val="9"/>
        </w:numPr>
        <w:spacing w:line="360" w:lineRule="auto"/>
        <w:rPr>
          <w:b/>
          <w:bCs/>
        </w:rPr>
      </w:pPr>
      <w:r w:rsidRPr="00506F1F">
        <w:rPr>
          <w:b/>
          <w:bCs/>
        </w:rPr>
        <w:t>Ztráta pojištěné věci v důsledku pojistné události</w:t>
      </w:r>
    </w:p>
    <w:p w14:paraId="3A223FE2" w14:textId="77777777" w:rsidR="00C646EF" w:rsidRDefault="00C646EF" w:rsidP="002F7F8D">
      <w:pPr>
        <w:pStyle w:val="Odstavecseseznamem"/>
        <w:numPr>
          <w:ilvl w:val="2"/>
          <w:numId w:val="9"/>
        </w:numPr>
        <w:spacing w:line="360" w:lineRule="auto"/>
        <w:ind w:left="1276" w:hanging="788"/>
      </w:pPr>
      <w:r>
        <w:t>Ujednává se, že pojistitel poskytne plnění i v případě ztráty pojištěné věci v přímé souvislosti s živelní pojistnou událostí pojištěnou touto pojistnou smlouvou.</w:t>
      </w:r>
    </w:p>
    <w:p w14:paraId="4EF9A222" w14:textId="77777777" w:rsidR="00C646EF" w:rsidRPr="00506F1F" w:rsidRDefault="00C646EF" w:rsidP="002F7F8D">
      <w:pPr>
        <w:pStyle w:val="Odstavecseseznamem"/>
        <w:numPr>
          <w:ilvl w:val="1"/>
          <w:numId w:val="9"/>
        </w:numPr>
        <w:spacing w:line="360" w:lineRule="auto"/>
        <w:rPr>
          <w:b/>
          <w:bCs/>
        </w:rPr>
      </w:pPr>
      <w:r w:rsidRPr="00506F1F">
        <w:rPr>
          <w:b/>
          <w:bCs/>
        </w:rPr>
        <w:t>Pojištění nemovitostí, na kterých jsou prováděny stavební úpravy</w:t>
      </w:r>
    </w:p>
    <w:p w14:paraId="59CDD4CE" w14:textId="613794E0" w:rsidR="00C646EF" w:rsidRDefault="00C646EF" w:rsidP="002F7F8D">
      <w:pPr>
        <w:pStyle w:val="Odstavecseseznamem"/>
        <w:numPr>
          <w:ilvl w:val="2"/>
          <w:numId w:val="9"/>
        </w:numPr>
        <w:spacing w:line="360" w:lineRule="auto"/>
        <w:ind w:left="1276" w:hanging="788"/>
      </w:pPr>
      <w:r>
        <w:t>Ujednává se, že se pojištění budov a staveb vztahuje také na škody nastalé ve smlouvě sjednanými pojistnými nebezpečími na budovách a stavbách, na kterých jsou prováděny stavební úpravy. A to včetně těch, k nimž je třeba stavební povolení. V případě, že by došlo k souběhu pojištění dle tohoto smluvního ujednání a pojištění CAR/EAR, se pojistné plnění přednostně uplatní z pojištění CAR/EAR v případech, kdy příčina vzniku škody má přímou souvislost s prováděnými stavebně-montážními pracemi na pojištěném majetku dle této smlouvy. Toto připojištění se sjednává s ročním limitem pojistného plnění ve výši 50</w:t>
      </w:r>
      <w:r w:rsidR="004A5D00">
        <w:t> </w:t>
      </w:r>
      <w:r>
        <w:t>000</w:t>
      </w:r>
      <w:r w:rsidR="004A5D00">
        <w:t> </w:t>
      </w:r>
      <w:r>
        <w:t>000</w:t>
      </w:r>
      <w:r w:rsidR="004A5D00">
        <w:t> </w:t>
      </w:r>
      <w:r>
        <w:t>Kč a spoluúčastí pojištěného ve výši 10 000 000 Kč pro každou pojistnou událost za</w:t>
      </w:r>
      <w:r w:rsidR="004A5D00">
        <w:t> </w:t>
      </w:r>
      <w:r>
        <w:t>předpokladu, že příčinou vzniku škody byla prováděná stavebně-montážní činnost a</w:t>
      </w:r>
      <w:r w:rsidR="004A5D00">
        <w:t> </w:t>
      </w:r>
      <w:r>
        <w:t>nebylo možno tuto škodu uplatnit z pojištění CAR/EAR. V případě, že příčina vzniku škody nemá přímou souvislost s prováděnými stavebně -   montážními činnostmi, uplatní se výše spoluúčasti dle této pojistné smlouvy v závislosti na pojistném nebezpečí, ze kterého škoda nastala. Pojištění se rovněž vztahuje na majetek v těcht</w:t>
      </w:r>
      <w:r w:rsidR="004A5D00">
        <w:t>o nemovitostech uložených.</w:t>
      </w:r>
    </w:p>
    <w:p w14:paraId="4869D69A" w14:textId="77777777" w:rsidR="00C646EF" w:rsidRPr="00506F1F" w:rsidRDefault="00C646EF" w:rsidP="002F7F8D">
      <w:pPr>
        <w:pStyle w:val="Odstavecseseznamem"/>
        <w:numPr>
          <w:ilvl w:val="1"/>
          <w:numId w:val="9"/>
        </w:numPr>
        <w:spacing w:line="360" w:lineRule="auto"/>
        <w:rPr>
          <w:b/>
          <w:bCs/>
        </w:rPr>
      </w:pPr>
      <w:r w:rsidRPr="00506F1F">
        <w:rPr>
          <w:b/>
          <w:bCs/>
        </w:rPr>
        <w:t>Vodné, stočné</w:t>
      </w:r>
    </w:p>
    <w:p w14:paraId="1F5A9DC6" w14:textId="77777777" w:rsidR="00C646EF" w:rsidRDefault="00C646EF" w:rsidP="002F7F8D">
      <w:pPr>
        <w:pStyle w:val="Odstavecseseznamem"/>
        <w:numPr>
          <w:ilvl w:val="2"/>
          <w:numId w:val="9"/>
        </w:numPr>
        <w:spacing w:line="360" w:lineRule="auto"/>
        <w:ind w:left="1276" w:hanging="788"/>
      </w:pPr>
      <w:r>
        <w:t>Pojištění vodovodních škod se vztahuje také na náklady vynaložené na vodné a stočné účtované za únik vody, ke kterému došlo v souvislosti s pojistnou událostí nebo havárií vodovodního zařízení. Pojištění podle tohoto odstavce se sjednává na první riziko s limitem plnění 50 000 Kč.</w:t>
      </w:r>
    </w:p>
    <w:p w14:paraId="6F607922" w14:textId="77777777" w:rsidR="00C646EF" w:rsidRPr="00506F1F" w:rsidRDefault="00C646EF" w:rsidP="002F7F8D">
      <w:pPr>
        <w:pStyle w:val="Odstavecseseznamem"/>
        <w:keepNext/>
        <w:numPr>
          <w:ilvl w:val="0"/>
          <w:numId w:val="9"/>
        </w:numPr>
        <w:spacing w:line="360" w:lineRule="auto"/>
        <w:rPr>
          <w:b/>
          <w:bCs/>
        </w:rPr>
      </w:pPr>
      <w:r w:rsidRPr="00506F1F">
        <w:rPr>
          <w:b/>
          <w:bCs/>
        </w:rPr>
        <w:t>Pojištění majetku proti odcizení a vandalismu</w:t>
      </w:r>
    </w:p>
    <w:p w14:paraId="631408C2" w14:textId="51940935" w:rsidR="00C646EF" w:rsidRPr="00506F1F" w:rsidRDefault="00C646EF" w:rsidP="002F7F8D">
      <w:pPr>
        <w:pStyle w:val="Odstavecseseznamem"/>
        <w:keepNext/>
        <w:numPr>
          <w:ilvl w:val="1"/>
          <w:numId w:val="9"/>
        </w:numPr>
        <w:spacing w:line="360" w:lineRule="auto"/>
        <w:rPr>
          <w:b/>
          <w:bCs/>
        </w:rPr>
      </w:pPr>
      <w:r w:rsidRPr="00506F1F">
        <w:rPr>
          <w:b/>
          <w:bCs/>
        </w:rPr>
        <w:t>Odcizení, va</w:t>
      </w:r>
      <w:r w:rsidR="00300FF2">
        <w:rPr>
          <w:b/>
          <w:bCs/>
        </w:rPr>
        <w:t>ndalismus – nezjištěný pachatel</w:t>
      </w:r>
    </w:p>
    <w:p w14:paraId="12A0DA9D" w14:textId="77777777" w:rsidR="00C646EF" w:rsidRDefault="00C646EF" w:rsidP="002F7F8D">
      <w:pPr>
        <w:pStyle w:val="Odstavecseseznamem"/>
        <w:numPr>
          <w:ilvl w:val="2"/>
          <w:numId w:val="9"/>
        </w:numPr>
        <w:spacing w:line="360" w:lineRule="auto"/>
        <w:ind w:left="1276" w:hanging="788"/>
      </w:pPr>
      <w:r>
        <w:t>Pojištění pro případ odcizení nebo vandalismu se vztahuje i na případy, kdy byl pachatel činu nezjištěn.</w:t>
      </w:r>
    </w:p>
    <w:p w14:paraId="3FEF6E3C" w14:textId="50F7A86A" w:rsidR="00C646EF" w:rsidRPr="00506F1F" w:rsidRDefault="00300FF2" w:rsidP="002F7F8D">
      <w:pPr>
        <w:pStyle w:val="Odstavecseseznamem"/>
        <w:numPr>
          <w:ilvl w:val="1"/>
          <w:numId w:val="9"/>
        </w:numPr>
        <w:spacing w:line="360" w:lineRule="auto"/>
        <w:rPr>
          <w:b/>
          <w:bCs/>
        </w:rPr>
      </w:pPr>
      <w:r>
        <w:rPr>
          <w:b/>
          <w:bCs/>
        </w:rPr>
        <w:t>Prostý vandalismus</w:t>
      </w:r>
    </w:p>
    <w:p w14:paraId="5F64CC49" w14:textId="1CDE0214" w:rsidR="00C646EF" w:rsidRDefault="00C646EF" w:rsidP="002F7F8D">
      <w:pPr>
        <w:pStyle w:val="Odstavecseseznamem"/>
        <w:numPr>
          <w:ilvl w:val="2"/>
          <w:numId w:val="9"/>
        </w:numPr>
        <w:spacing w:line="360" w:lineRule="auto"/>
        <w:ind w:left="1276" w:hanging="788"/>
      </w:pPr>
      <w:r>
        <w:t>Pojištění vandalismu se vztahuje na úmyslné poškození nebo úmyslné zničení pojištěné věci, a to bez ohledu na to, zda toto poškození/ zničení souvisí s pokusem o vloupání či</w:t>
      </w:r>
      <w:r w:rsidR="004A5D00">
        <w:t> </w:t>
      </w:r>
      <w:r>
        <w:t>s</w:t>
      </w:r>
      <w:r w:rsidR="004A5D00">
        <w:t> </w:t>
      </w:r>
      <w:r>
        <w:t>vloupáním samotným či překonáním překážky.</w:t>
      </w:r>
    </w:p>
    <w:p w14:paraId="38FDFA37" w14:textId="427756ED" w:rsidR="00C646EF" w:rsidRDefault="00C646EF" w:rsidP="002F7F8D">
      <w:pPr>
        <w:pStyle w:val="Odstavecseseznamem"/>
        <w:numPr>
          <w:ilvl w:val="2"/>
          <w:numId w:val="9"/>
        </w:numPr>
        <w:spacing w:line="360" w:lineRule="auto"/>
        <w:ind w:left="1276" w:hanging="788"/>
      </w:pPr>
      <w:r>
        <w:t>Pojištění se vztahuje i na náklady na výměnu klíčů a zámků v případě jejich poškození v</w:t>
      </w:r>
      <w:r w:rsidR="004A5D00">
        <w:t> </w:t>
      </w:r>
      <w:r>
        <w:t xml:space="preserve">souvislosti s odcizením na pojištěných věcech. Pojistné plnění z tohoto pojištění, v souhrnu </w:t>
      </w:r>
      <w:r>
        <w:lastRenderedPageBreak/>
        <w:t>za všechny pojistné události nastalé v průběhu jednoho pojistného roku (resp. je-li pojištění sjednáno na dobu kratší než jeden pojistný rok, v průběhu trvání pojištění), je omezeno maximálním ročním limitem pojistného plnění ve výši 10 000 Kč. Od celkové výše pojistného plnění za každou pojistnou událost z tohoto pojištění se odečítá spoluúčast ve výši 500 Kč.</w:t>
      </w:r>
    </w:p>
    <w:p w14:paraId="0274E6D4" w14:textId="77777777" w:rsidR="00C646EF" w:rsidRPr="00506F1F" w:rsidRDefault="00C646EF" w:rsidP="002F7F8D">
      <w:pPr>
        <w:pStyle w:val="Odstavecseseznamem"/>
        <w:numPr>
          <w:ilvl w:val="1"/>
          <w:numId w:val="9"/>
        </w:numPr>
        <w:spacing w:line="360" w:lineRule="auto"/>
        <w:rPr>
          <w:b/>
          <w:bCs/>
        </w:rPr>
      </w:pPr>
      <w:r w:rsidRPr="00506F1F">
        <w:rPr>
          <w:b/>
          <w:bCs/>
        </w:rPr>
        <w:t>Odcizení věcí z dopravního prostředku</w:t>
      </w:r>
    </w:p>
    <w:p w14:paraId="59C7F422" w14:textId="56CFE724" w:rsidR="00C646EF" w:rsidRDefault="00C646EF" w:rsidP="002F7F8D">
      <w:pPr>
        <w:pStyle w:val="Odstavecseseznamem"/>
        <w:numPr>
          <w:ilvl w:val="2"/>
          <w:numId w:val="9"/>
        </w:numPr>
        <w:spacing w:line="360" w:lineRule="auto"/>
        <w:ind w:left="1276" w:hanging="788"/>
      </w:pPr>
      <w:r>
        <w:t>Je-li touto pojistnou smlouvou sjednáno pojištění movitých věcí proti odcizení, vztahuje se toto pojištění také na krádež s překonáním překážky pojištěného zařízení z motorového vozidla (osobní vozidlo, autobus apod.), vlaku a letadla, a to za podmínky, že došlo k</w:t>
      </w:r>
      <w:r w:rsidR="004A5D00">
        <w:t> </w:t>
      </w:r>
      <w:r>
        <w:t>překonání překážky chránící pojištěnou věc před odcizením (např. překonáním uzamčeného kupé vlaku nebo překonání uzamčeného zavazadlového prostoru motorového dopravního prostředku). Pojistné plnění za pojistnou událost vzniklou dle předchozího odstavce je omezeno částkou 50 000 Kč za každou pojistnou událost.</w:t>
      </w:r>
    </w:p>
    <w:p w14:paraId="66EDA121" w14:textId="77777777" w:rsidR="00C646EF" w:rsidRPr="00506F1F" w:rsidRDefault="00C646EF" w:rsidP="002F7F8D">
      <w:pPr>
        <w:pStyle w:val="Odstavecseseznamem"/>
        <w:numPr>
          <w:ilvl w:val="1"/>
          <w:numId w:val="9"/>
        </w:numPr>
        <w:spacing w:line="360" w:lineRule="auto"/>
        <w:rPr>
          <w:b/>
          <w:bCs/>
        </w:rPr>
      </w:pPr>
      <w:r w:rsidRPr="00506F1F">
        <w:rPr>
          <w:b/>
          <w:bCs/>
        </w:rPr>
        <w:t>Sprejeři</w:t>
      </w:r>
    </w:p>
    <w:p w14:paraId="454B6B98" w14:textId="77777777" w:rsidR="00C646EF" w:rsidRDefault="00C646EF" w:rsidP="002F7F8D">
      <w:pPr>
        <w:pStyle w:val="Odstavecseseznamem"/>
        <w:numPr>
          <w:ilvl w:val="2"/>
          <w:numId w:val="9"/>
        </w:numPr>
        <w:spacing w:line="360" w:lineRule="auto"/>
        <w:ind w:left="1276" w:hanging="788"/>
      </w:pPr>
      <w:r>
        <w:t>Ujednává se, že se pojištění vztahuje i na úmyslné poškození pojištěné věci malbami, nástřiky (např. spreji a barvami) polepením nebo poškrábáním. Při poškození pojištěné věci pojistným nebezpečím dle předchozí věty poskytne pojistitel plnění, jehož výše odpovídá přiměřeným a nezbytně vynaloženým nákladům na vyčištění, případně i na opravu souvislé plochy, jejíž část byla pojistnou událostí zasažena. Pro toto pojištění se ujednává limit plnění 200 000 Kč za každou pojistnou událost.</w:t>
      </w:r>
    </w:p>
    <w:p w14:paraId="796B82AD" w14:textId="4BE6460D" w:rsidR="00C646EF" w:rsidRPr="00506F1F" w:rsidRDefault="00C646EF" w:rsidP="002F7F8D">
      <w:pPr>
        <w:pStyle w:val="Odstavecseseznamem"/>
        <w:numPr>
          <w:ilvl w:val="1"/>
          <w:numId w:val="9"/>
        </w:numPr>
        <w:spacing w:line="360" w:lineRule="auto"/>
        <w:rPr>
          <w:b/>
          <w:bCs/>
        </w:rPr>
      </w:pPr>
      <w:r w:rsidRPr="00506F1F">
        <w:rPr>
          <w:b/>
          <w:bCs/>
        </w:rPr>
        <w:t>Kamerové systé</w:t>
      </w:r>
      <w:r w:rsidR="00300FF2">
        <w:rPr>
          <w:b/>
          <w:bCs/>
        </w:rPr>
        <w:t>my – změna podmínek zabezpečení</w:t>
      </w:r>
    </w:p>
    <w:p w14:paraId="2C812C99" w14:textId="6C11F993" w:rsidR="00C646EF" w:rsidRDefault="00C646EF" w:rsidP="002F7F8D">
      <w:pPr>
        <w:pStyle w:val="Odstavecseseznamem"/>
        <w:numPr>
          <w:ilvl w:val="2"/>
          <w:numId w:val="9"/>
        </w:numPr>
        <w:spacing w:line="360" w:lineRule="auto"/>
        <w:ind w:left="1276" w:hanging="788"/>
      </w:pPr>
      <w:r>
        <w:t>V případě škody na kamerovém systému sloužícímu místu pojištění poskytne pojistitel plnění i v případě, je-li kamerový systém (nebo jeho část) umístěn mimo uzavřený prostor nebo oplocené prostranství. Došlo-li k odcizení kamerového systému (nebo jeho části), je</w:t>
      </w:r>
      <w:r w:rsidR="004A5D00">
        <w:t> </w:t>
      </w:r>
      <w:r>
        <w:t>za</w:t>
      </w:r>
      <w:r w:rsidR="004A5D00">
        <w:t> </w:t>
      </w:r>
      <w:r>
        <w:t>dostatečné překonání překážky považováno překonání jeho konstrukčního upevnění.</w:t>
      </w:r>
    </w:p>
    <w:p w14:paraId="7298A5E6" w14:textId="6D754C1C" w:rsidR="00C646EF" w:rsidRPr="00506F1F" w:rsidRDefault="00C646EF" w:rsidP="002F7F8D">
      <w:pPr>
        <w:pStyle w:val="Odstavecseseznamem"/>
        <w:numPr>
          <w:ilvl w:val="1"/>
          <w:numId w:val="9"/>
        </w:numPr>
        <w:spacing w:line="360" w:lineRule="auto"/>
        <w:rPr>
          <w:b/>
          <w:bCs/>
        </w:rPr>
      </w:pPr>
      <w:r w:rsidRPr="00506F1F">
        <w:rPr>
          <w:b/>
          <w:bCs/>
        </w:rPr>
        <w:t>Pros</w:t>
      </w:r>
      <w:r w:rsidR="004A5D00">
        <w:rPr>
          <w:b/>
          <w:bCs/>
        </w:rPr>
        <w:t>tá krádež</w:t>
      </w:r>
    </w:p>
    <w:p w14:paraId="65214ADC" w14:textId="77777777" w:rsidR="00C646EF" w:rsidRDefault="00C646EF" w:rsidP="002F7F8D">
      <w:pPr>
        <w:pStyle w:val="Odstavecseseznamem"/>
        <w:numPr>
          <w:ilvl w:val="2"/>
          <w:numId w:val="9"/>
        </w:numPr>
        <w:spacing w:line="360" w:lineRule="auto"/>
        <w:ind w:left="1276" w:hanging="788"/>
      </w:pPr>
      <w:r>
        <w:t>Pojištění pro případ odcizení se vztahuje i na případy odcizení způsobené prostou krádeží. Prostou krádeží se rozumí odcizení pojištěné věci bez překonání překážek a způsobů zabezpečení. Pojištění podle tohoto odstavce se sjednává na první riziko nebo s limitem plnění 100 000 Kč. Povinností pojištěného je oznámit odcizení PČR.</w:t>
      </w:r>
    </w:p>
    <w:p w14:paraId="7A65FCD1" w14:textId="77777777" w:rsidR="00C646EF" w:rsidRPr="00506F1F" w:rsidRDefault="00C646EF" w:rsidP="002F7F8D">
      <w:pPr>
        <w:pStyle w:val="Odstavecseseznamem"/>
        <w:keepNext/>
        <w:numPr>
          <w:ilvl w:val="0"/>
          <w:numId w:val="9"/>
        </w:numPr>
        <w:spacing w:line="360" w:lineRule="auto"/>
        <w:ind w:left="351" w:hanging="357"/>
        <w:rPr>
          <w:b/>
          <w:bCs/>
        </w:rPr>
      </w:pPr>
      <w:r w:rsidRPr="00506F1F">
        <w:rPr>
          <w:b/>
          <w:bCs/>
        </w:rPr>
        <w:t>Pojištění skel</w:t>
      </w:r>
    </w:p>
    <w:p w14:paraId="35A0D67D" w14:textId="77777777" w:rsidR="00C646EF" w:rsidRPr="00506F1F" w:rsidRDefault="00C646EF" w:rsidP="002F7F8D">
      <w:pPr>
        <w:pStyle w:val="Odstavecseseznamem"/>
        <w:numPr>
          <w:ilvl w:val="2"/>
          <w:numId w:val="9"/>
        </w:numPr>
        <w:spacing w:line="360" w:lineRule="auto"/>
        <w:ind w:left="1276" w:hanging="788"/>
      </w:pPr>
      <w:bookmarkStart w:id="0" w:name="_GoBack"/>
      <w:r w:rsidRPr="00506F1F">
        <w:t>Pojištění se vztahuje i na nalepené neodnímatelné snímače zabezpečovacích zařízení, nalepené fólie, nápisy, malby nebo jiné výzdoby, jsou-li součástí pojištěného skla.</w:t>
      </w:r>
      <w:bookmarkEnd w:id="0"/>
    </w:p>
    <w:p w14:paraId="765136EC" w14:textId="77777777" w:rsidR="00C646EF" w:rsidRPr="00506F1F" w:rsidRDefault="00C646EF" w:rsidP="002F7F8D">
      <w:pPr>
        <w:pStyle w:val="Odstavecseseznamem"/>
        <w:numPr>
          <w:ilvl w:val="1"/>
          <w:numId w:val="9"/>
        </w:numPr>
        <w:spacing w:line="360" w:lineRule="auto"/>
        <w:rPr>
          <w:b/>
          <w:bCs/>
        </w:rPr>
      </w:pPr>
      <w:r w:rsidRPr="00506F1F">
        <w:rPr>
          <w:b/>
          <w:bCs/>
        </w:rPr>
        <w:t>Definice skla</w:t>
      </w:r>
    </w:p>
    <w:p w14:paraId="24B500CF" w14:textId="1070694A" w:rsidR="00C646EF" w:rsidRDefault="00C646EF" w:rsidP="002F7F8D">
      <w:pPr>
        <w:pStyle w:val="Odstavecseseznamem"/>
        <w:numPr>
          <w:ilvl w:val="2"/>
          <w:numId w:val="9"/>
        </w:numPr>
        <w:spacing w:line="360" w:lineRule="auto"/>
        <w:ind w:left="1276" w:hanging="788"/>
      </w:pPr>
      <w:r>
        <w:t>Pojištění se vztahuje i na obyčejné sklo v oknech, dveřích, světlících, střechách, obytných stěnách a ve vitrínách, sklokeramické varné desky a sanitární keramiku. Pojištění se</w:t>
      </w:r>
      <w:r w:rsidR="004A5D00">
        <w:t> </w:t>
      </w:r>
      <w:r>
        <w:t>vztahuje též na plasty nahrazující skla.</w:t>
      </w:r>
    </w:p>
    <w:p w14:paraId="4EECCF74" w14:textId="77777777" w:rsidR="00C646EF" w:rsidRPr="00506F1F" w:rsidRDefault="00C646EF" w:rsidP="002F7F8D">
      <w:pPr>
        <w:pStyle w:val="Odstavecseseznamem"/>
        <w:numPr>
          <w:ilvl w:val="0"/>
          <w:numId w:val="9"/>
        </w:numPr>
        <w:spacing w:line="360" w:lineRule="auto"/>
        <w:rPr>
          <w:b/>
          <w:bCs/>
        </w:rPr>
      </w:pPr>
      <w:r w:rsidRPr="00506F1F">
        <w:rPr>
          <w:b/>
          <w:bCs/>
        </w:rPr>
        <w:t>Pojištění odpovědnosti</w:t>
      </w:r>
    </w:p>
    <w:p w14:paraId="6DDF6F34" w14:textId="77777777" w:rsidR="00C646EF" w:rsidRPr="00300FF2" w:rsidRDefault="00C646EF" w:rsidP="00300FF2">
      <w:pPr>
        <w:pStyle w:val="Odstavecseseznamem"/>
        <w:numPr>
          <w:ilvl w:val="1"/>
          <w:numId w:val="9"/>
        </w:numPr>
        <w:spacing w:line="360" w:lineRule="auto"/>
        <w:rPr>
          <w:b/>
          <w:bCs/>
        </w:rPr>
      </w:pPr>
      <w:r w:rsidRPr="00300FF2">
        <w:rPr>
          <w:b/>
          <w:bCs/>
        </w:rPr>
        <w:t>Právo na pojistné plnění</w:t>
      </w:r>
    </w:p>
    <w:p w14:paraId="0E4A3CB3" w14:textId="7362F634" w:rsidR="00C646EF" w:rsidRDefault="00C646EF" w:rsidP="00562B08">
      <w:pPr>
        <w:pStyle w:val="Odstavecseseznamem"/>
        <w:numPr>
          <w:ilvl w:val="2"/>
          <w:numId w:val="9"/>
        </w:numPr>
        <w:spacing w:line="360" w:lineRule="auto"/>
        <w:ind w:left="1276" w:hanging="788"/>
      </w:pPr>
      <w:r>
        <w:t>Pro účely této pojistné smlouvy bude pojistitel považovat pojištěného za povinného k</w:t>
      </w:r>
      <w:r w:rsidR="004A5D00">
        <w:t> </w:t>
      </w:r>
      <w:r>
        <w:t xml:space="preserve">náhradě způsobené újmy i v případě § 2924, věty druhé, zákona č. 89/2012 Sb., občanský zákoník v platném znění. Pojistitel však není povinen poskytnout plnění v případě, </w:t>
      </w:r>
      <w:r>
        <w:lastRenderedPageBreak/>
        <w:t>že</w:t>
      </w:r>
      <w:r w:rsidR="00562B08">
        <w:t> </w:t>
      </w:r>
      <w:r>
        <w:t>se</w:t>
      </w:r>
      <w:r w:rsidR="00562B08">
        <w:t> </w:t>
      </w:r>
      <w:r>
        <w:t xml:space="preserve">pojištěný této povinnosti zprostí z důvodu vnějšího zásahu vyšší moci, vlastním jednáním poškozeného nebo neodvratitelným jednáním třetí osoby.  </w:t>
      </w:r>
    </w:p>
    <w:p w14:paraId="51074EFB" w14:textId="4175ACB1" w:rsidR="00C646EF" w:rsidRDefault="00C646EF" w:rsidP="002F7F8D">
      <w:pPr>
        <w:pStyle w:val="Odstavecseseznamem"/>
        <w:numPr>
          <w:ilvl w:val="2"/>
          <w:numId w:val="9"/>
        </w:numPr>
        <w:spacing w:line="360" w:lineRule="auto"/>
        <w:ind w:left="1276" w:hanging="788"/>
      </w:pPr>
      <w:r>
        <w:t>Pojištění se vztahuje na povinnost k náhradě újmy bez ohledu na právní řád, podle kterého je náhrada újmy posuzována. To neplatí, pokud je aplikov</w:t>
      </w:r>
      <w:r w:rsidR="004A5D00">
        <w:t>án právní řád USA nebo Kanady.</w:t>
      </w:r>
    </w:p>
    <w:p w14:paraId="206DD69E" w14:textId="77777777" w:rsidR="00C646EF" w:rsidRPr="00506F1F" w:rsidRDefault="00C646EF" w:rsidP="002F7F8D">
      <w:pPr>
        <w:pStyle w:val="Odstavecseseznamem"/>
        <w:numPr>
          <w:ilvl w:val="1"/>
          <w:numId w:val="9"/>
        </w:numPr>
        <w:spacing w:line="360" w:lineRule="auto"/>
        <w:rPr>
          <w:b/>
          <w:bCs/>
        </w:rPr>
      </w:pPr>
      <w:r w:rsidRPr="00506F1F">
        <w:rPr>
          <w:b/>
          <w:bCs/>
        </w:rPr>
        <w:t>Regresní nároky</w:t>
      </w:r>
    </w:p>
    <w:p w14:paraId="30CF204D" w14:textId="6F73C505" w:rsidR="00C646EF" w:rsidRDefault="00C646EF" w:rsidP="002F7F8D">
      <w:pPr>
        <w:pStyle w:val="Odstavecseseznamem"/>
        <w:numPr>
          <w:ilvl w:val="2"/>
          <w:numId w:val="9"/>
        </w:numPr>
        <w:spacing w:line="360" w:lineRule="auto"/>
        <w:ind w:left="1276" w:hanging="788"/>
      </w:pPr>
      <w:r>
        <w:t>Následně vznesený regresní nárok vyplývající z újmy na zdraví nebo újmy na jmění je</w:t>
      </w:r>
      <w:r w:rsidR="004A5D00">
        <w:t> </w:t>
      </w:r>
      <w:r>
        <w:t>pro</w:t>
      </w:r>
      <w:r w:rsidR="004A5D00">
        <w:t> </w:t>
      </w:r>
      <w:r>
        <w:t>účely pojistného plnění považován vždy za nárok mající povahu shodnou s původním nárokem (tj. újma na zdraví nebo újma na jmění).</w:t>
      </w:r>
    </w:p>
    <w:p w14:paraId="1516E698" w14:textId="77777777" w:rsidR="00C646EF" w:rsidRDefault="00C646EF" w:rsidP="002F7F8D">
      <w:pPr>
        <w:pStyle w:val="Odstavecseseznamem"/>
        <w:numPr>
          <w:ilvl w:val="2"/>
          <w:numId w:val="9"/>
        </w:numPr>
        <w:spacing w:line="360" w:lineRule="auto"/>
        <w:ind w:left="1276" w:hanging="788"/>
      </w:pPr>
      <w:r>
        <w:t xml:space="preserve">Právo na pojistné plnění vznikne, pokud ke vzniku újmy, ze které vzešel předmětný regresní nárok, došlo na území vymezeném v pojistné smlouvě. </w:t>
      </w:r>
    </w:p>
    <w:p w14:paraId="2A9906AC" w14:textId="77777777" w:rsidR="00C646EF" w:rsidRPr="00506F1F" w:rsidRDefault="00C646EF" w:rsidP="002F7F8D">
      <w:pPr>
        <w:pStyle w:val="Odstavecseseznamem"/>
        <w:numPr>
          <w:ilvl w:val="1"/>
          <w:numId w:val="9"/>
        </w:numPr>
        <w:spacing w:line="360" w:lineRule="auto"/>
        <w:rPr>
          <w:b/>
          <w:bCs/>
        </w:rPr>
      </w:pPr>
      <w:r w:rsidRPr="00506F1F">
        <w:rPr>
          <w:b/>
          <w:bCs/>
        </w:rPr>
        <w:t>Regresní nároky zdravotní pojišťovny a orgánu nemocenského pojištění</w:t>
      </w:r>
    </w:p>
    <w:p w14:paraId="4BA1C9D4" w14:textId="3A4B6EBA" w:rsidR="00C646EF" w:rsidRDefault="00C646EF" w:rsidP="002F7F8D">
      <w:pPr>
        <w:pStyle w:val="Odstavecseseznamem"/>
        <w:numPr>
          <w:ilvl w:val="2"/>
          <w:numId w:val="9"/>
        </w:numPr>
        <w:spacing w:line="360" w:lineRule="auto"/>
        <w:ind w:left="1276" w:hanging="788"/>
      </w:pPr>
      <w:r>
        <w:t>Pojištění se vztahuje i na náhrady nákladů léčení, které zdravotní pojišťovna musela vynaložit v důsledku újmy způsobené pojištěným, a to jak zaměstnancům pojištěného, tak</w:t>
      </w:r>
      <w:r w:rsidR="004A5D00">
        <w:t> </w:t>
      </w:r>
      <w:r>
        <w:t>třetím osobám.</w:t>
      </w:r>
    </w:p>
    <w:p w14:paraId="18C89F96" w14:textId="68E94F4B" w:rsidR="00C646EF" w:rsidRDefault="00C646EF" w:rsidP="002F7F8D">
      <w:pPr>
        <w:pStyle w:val="Odstavecseseznamem"/>
        <w:numPr>
          <w:ilvl w:val="2"/>
          <w:numId w:val="9"/>
        </w:numPr>
        <w:spacing w:line="360" w:lineRule="auto"/>
        <w:ind w:left="1276" w:hanging="788"/>
      </w:pPr>
      <w:r>
        <w:t>Pojištění se vztahuje i na regresní nároky orgánu nemocenského pojištění vůči pojištěnému na regresní náhradu vyplacených dávek nemocenského pojištění (zejména § 126 zákona č.</w:t>
      </w:r>
      <w:r w:rsidR="004A5D00">
        <w:t> </w:t>
      </w:r>
      <w:r>
        <w:t xml:space="preserve">187/2006 Sb., o nemocenském pojištění), a to jak zaměstnancům pojištěného, tak třetím osobám. </w:t>
      </w:r>
    </w:p>
    <w:p w14:paraId="639F019A" w14:textId="77777777" w:rsidR="00C646EF" w:rsidRPr="00506F1F" w:rsidRDefault="00C646EF" w:rsidP="002F7F8D">
      <w:pPr>
        <w:pStyle w:val="Odstavecseseznamem"/>
        <w:numPr>
          <w:ilvl w:val="1"/>
          <w:numId w:val="9"/>
        </w:numPr>
        <w:spacing w:line="360" w:lineRule="auto"/>
        <w:rPr>
          <w:b/>
          <w:bCs/>
        </w:rPr>
      </w:pPr>
      <w:r w:rsidRPr="00506F1F">
        <w:rPr>
          <w:b/>
          <w:bCs/>
        </w:rPr>
        <w:t xml:space="preserve">Vada výrobku a vadně provedená práce </w:t>
      </w:r>
    </w:p>
    <w:p w14:paraId="660D4F0E" w14:textId="0D2BD10B" w:rsidR="00C646EF" w:rsidRDefault="00C646EF" w:rsidP="002F7F8D">
      <w:pPr>
        <w:pStyle w:val="Odstavecseseznamem"/>
        <w:numPr>
          <w:ilvl w:val="2"/>
          <w:numId w:val="9"/>
        </w:numPr>
        <w:spacing w:line="360" w:lineRule="auto"/>
        <w:ind w:left="1276" w:hanging="788"/>
      </w:pPr>
      <w:r>
        <w:t>Výrobkem se pro účely tohoto pojištění rozumí jakákoliv movitá věc, která byla vyrobena, vytěžena nebo jinak získána bez ohledu na stupeň jejího zpracování a je určena k uvedení na trh, a to bez ohledu na to, zda je určena (tj. zejména úplatně nebo bezúplatně předána nebo nabídnuta k předání za účelem distribuce nebo používání) spotřebiteli nebo podnikateli. Výrobkem jsou rovněž součásti i příslušenství věci movité i nemovité. Za výrobek se považuje i elektřina. Pojištění odpovědnosti za újmu způsobenou vadou výrobku se</w:t>
      </w:r>
      <w:r w:rsidR="004A5D00">
        <w:t> </w:t>
      </w:r>
      <w:r>
        <w:t>vztahuje též na</w:t>
      </w:r>
      <w:r w:rsidR="004A5D00">
        <w:t> </w:t>
      </w:r>
      <w:r>
        <w:t>povinnost k náhradě újmy způsobené vadně vykonanou prací, kdy újma vznikne nebo se</w:t>
      </w:r>
      <w:r w:rsidR="004A5D00">
        <w:t> </w:t>
      </w:r>
      <w:r>
        <w:t xml:space="preserve">projeví po předání výsledku takové práce. </w:t>
      </w:r>
    </w:p>
    <w:p w14:paraId="0D1F3D76" w14:textId="77777777" w:rsidR="00C646EF" w:rsidRPr="002278CA" w:rsidRDefault="00C646EF" w:rsidP="002F7F8D">
      <w:pPr>
        <w:pStyle w:val="Odstavecseseznamem"/>
        <w:keepNext/>
        <w:numPr>
          <w:ilvl w:val="1"/>
          <w:numId w:val="9"/>
        </w:numPr>
        <w:spacing w:line="360" w:lineRule="auto"/>
        <w:ind w:left="425" w:hanging="431"/>
        <w:rPr>
          <w:b/>
          <w:bCs/>
        </w:rPr>
      </w:pPr>
      <w:r w:rsidRPr="002278CA">
        <w:rPr>
          <w:b/>
          <w:bCs/>
        </w:rPr>
        <w:t>Křížová odpovědnost</w:t>
      </w:r>
    </w:p>
    <w:p w14:paraId="02859516" w14:textId="7013E311" w:rsidR="00C646EF" w:rsidRDefault="00C646EF" w:rsidP="002F7F8D">
      <w:pPr>
        <w:pStyle w:val="Odstavecseseznamem"/>
        <w:numPr>
          <w:ilvl w:val="2"/>
          <w:numId w:val="9"/>
        </w:numPr>
        <w:spacing w:line="360" w:lineRule="auto"/>
        <w:ind w:left="1276" w:hanging="788"/>
      </w:pPr>
      <w:r>
        <w:t>Pojištění se vztahuje i na povinnost k náhradě újmy, kterou pojištěný způsobil osobám jemu blízkým a dále osobám, s nimiž je majetkově propojen. Smluvní strany si pro účely této pojistné smlouvy ujednávají, že osoby, s nimiž je pojištěný majetkové propojen, jsou osoby v</w:t>
      </w:r>
      <w:r w:rsidR="004A5D00">
        <w:t> </w:t>
      </w:r>
      <w:r>
        <w:t xml:space="preserve">koncernu spolu s pojištěným (§ 79 a násl. zákona o obchodních korporacích) k okamžiku uzavření smlouvy a pojistné události. Pojištění se vztahuje i na povinnost k náhradě újmy mezi pojištěnými z tohoto pojištění. </w:t>
      </w:r>
    </w:p>
    <w:p w14:paraId="59B52FD4" w14:textId="77777777" w:rsidR="00C646EF" w:rsidRPr="002278CA" w:rsidRDefault="00C646EF" w:rsidP="002F7F8D">
      <w:pPr>
        <w:pStyle w:val="Odstavecseseznamem"/>
        <w:numPr>
          <w:ilvl w:val="1"/>
          <w:numId w:val="9"/>
        </w:numPr>
        <w:spacing w:line="360" w:lineRule="auto"/>
        <w:rPr>
          <w:b/>
          <w:bCs/>
        </w:rPr>
      </w:pPr>
      <w:r w:rsidRPr="002278CA">
        <w:rPr>
          <w:b/>
          <w:bCs/>
        </w:rPr>
        <w:t>Pokuty, penále, sankce</w:t>
      </w:r>
    </w:p>
    <w:p w14:paraId="16F8B2C2" w14:textId="4A476BC7" w:rsidR="00C646EF" w:rsidRDefault="00C646EF" w:rsidP="002F7F8D">
      <w:pPr>
        <w:pStyle w:val="Odstavecseseznamem"/>
        <w:numPr>
          <w:ilvl w:val="2"/>
          <w:numId w:val="9"/>
        </w:numPr>
        <w:spacing w:line="360" w:lineRule="auto"/>
        <w:ind w:left="1276" w:hanging="788"/>
      </w:pPr>
      <w:r>
        <w:t>Pojištění se vztahuje i na povinnost pojištěného k náhradě finanční škody spočívající v</w:t>
      </w:r>
      <w:r w:rsidR="004A5D00">
        <w:t> </w:t>
      </w:r>
      <w:r>
        <w:t>pokutě, penále nebo jiných sankcích, které byly uloženy třetí osobě v důsledku jednání pojištěného.</w:t>
      </w:r>
    </w:p>
    <w:p w14:paraId="5DEE85AE" w14:textId="2B0EA3B2" w:rsidR="00C646EF" w:rsidRDefault="00C646EF" w:rsidP="002F7F8D">
      <w:pPr>
        <w:pStyle w:val="Odstavecseseznamem"/>
        <w:numPr>
          <w:ilvl w:val="2"/>
          <w:numId w:val="9"/>
        </w:numPr>
        <w:spacing w:line="360" w:lineRule="auto"/>
        <w:ind w:left="1276" w:hanging="788"/>
      </w:pPr>
      <w:r>
        <w:t>Pojistitel neuplatní výluku vztahující se na případy zaplacení smluvní pokuty pojištěným (tzv.</w:t>
      </w:r>
      <w:r w:rsidR="004A5D00">
        <w:t> </w:t>
      </w:r>
      <w:r>
        <w:t>výluka smluvní pokuty), a to do výše částky, která by odpovídala plnění z titulu povinnosti k</w:t>
      </w:r>
      <w:r w:rsidR="004A5D00">
        <w:t> </w:t>
      </w:r>
      <w:r>
        <w:t>náhradě újmy, pokud by smluvní pokuta sjednána nebyla. Pojištěný musí v</w:t>
      </w:r>
      <w:r w:rsidR="004A5D00">
        <w:t> </w:t>
      </w:r>
      <w:r>
        <w:t xml:space="preserve">takovém případě vždy prokázat výši újmy. </w:t>
      </w:r>
    </w:p>
    <w:p w14:paraId="228B4FCF" w14:textId="7C2ECFA7" w:rsidR="00C646EF" w:rsidRDefault="00C646EF" w:rsidP="002F7F8D">
      <w:pPr>
        <w:pStyle w:val="Odstavecseseznamem"/>
        <w:numPr>
          <w:ilvl w:val="2"/>
          <w:numId w:val="9"/>
        </w:numPr>
        <w:spacing w:line="360" w:lineRule="auto"/>
        <w:ind w:left="1276" w:hanging="788"/>
      </w:pPr>
      <w:r>
        <w:lastRenderedPageBreak/>
        <w:t>Pro účely sjednaného pojištění se za čistou finanční škodu považuje i nárok poškozeného na</w:t>
      </w:r>
      <w:r w:rsidR="004A5D00">
        <w:t> </w:t>
      </w:r>
      <w:r>
        <w:t>náhradu škody vyplývající z ustanovení jím uzavřené sm</w:t>
      </w:r>
      <w:r w:rsidR="004A5D00">
        <w:t>louvy o řádné a včasné dodávce.</w:t>
      </w:r>
    </w:p>
    <w:p w14:paraId="55818BBE" w14:textId="77777777" w:rsidR="00C646EF" w:rsidRDefault="00C646EF" w:rsidP="002F7F8D">
      <w:pPr>
        <w:pStyle w:val="Odstavecseseznamem"/>
        <w:numPr>
          <w:ilvl w:val="1"/>
          <w:numId w:val="9"/>
        </w:numPr>
        <w:spacing w:line="360" w:lineRule="auto"/>
      </w:pPr>
      <w:r w:rsidRPr="002278CA">
        <w:rPr>
          <w:b/>
          <w:bCs/>
        </w:rPr>
        <w:t>Osobnostní</w:t>
      </w:r>
      <w:r>
        <w:t xml:space="preserve"> </w:t>
      </w:r>
      <w:r w:rsidRPr="002278CA">
        <w:rPr>
          <w:b/>
          <w:bCs/>
        </w:rPr>
        <w:t>újma</w:t>
      </w:r>
    </w:p>
    <w:p w14:paraId="65DAE62B" w14:textId="1DFD0BC2" w:rsidR="00C646EF" w:rsidRDefault="00C646EF" w:rsidP="002F7F8D">
      <w:pPr>
        <w:pStyle w:val="Odstavecseseznamem"/>
        <w:numPr>
          <w:ilvl w:val="2"/>
          <w:numId w:val="9"/>
        </w:numPr>
        <w:spacing w:line="360" w:lineRule="auto"/>
        <w:ind w:left="1276" w:hanging="788"/>
      </w:pPr>
      <w:r>
        <w:t>Pojištění se vztahuje i na povinnost pojištěného k peněžité náhradě újmy spočívající v</w:t>
      </w:r>
      <w:r w:rsidR="004A5D00">
        <w:t> </w:t>
      </w:r>
      <w:r>
        <w:t xml:space="preserve">neoprávněném zásahu do přirozených práv člověka nebo do pověsti či soukromí právnické osoby (např. u fyzické osoby omezení osobní svody, zásah do cti nebo důstojnosti nebo poškození dobrého jména a u právnické osoby poškození její pověsti apod.). </w:t>
      </w:r>
    </w:p>
    <w:p w14:paraId="19BCD9EA" w14:textId="77777777" w:rsidR="00C646EF" w:rsidRPr="002278CA" w:rsidRDefault="00C646EF" w:rsidP="002F7F8D">
      <w:pPr>
        <w:pStyle w:val="Odstavecseseznamem"/>
        <w:numPr>
          <w:ilvl w:val="1"/>
          <w:numId w:val="9"/>
        </w:numPr>
        <w:spacing w:line="360" w:lineRule="auto"/>
        <w:rPr>
          <w:b/>
          <w:bCs/>
        </w:rPr>
      </w:pPr>
      <w:r w:rsidRPr="002278CA">
        <w:rPr>
          <w:b/>
          <w:bCs/>
        </w:rPr>
        <w:t>Duševní útrapy</w:t>
      </w:r>
    </w:p>
    <w:p w14:paraId="7D0094C2" w14:textId="77777777" w:rsidR="00C646EF" w:rsidRDefault="00C646EF" w:rsidP="002F7F8D">
      <w:pPr>
        <w:pStyle w:val="Odstavecseseznamem"/>
        <w:numPr>
          <w:ilvl w:val="2"/>
          <w:numId w:val="9"/>
        </w:numPr>
        <w:spacing w:line="360" w:lineRule="auto"/>
        <w:ind w:left="1276" w:hanging="788"/>
      </w:pPr>
      <w:r>
        <w:t xml:space="preserve">V případě nemajetkové újmy na zdraví nebo na životě člověka poskytne pojistitel náhradu duševních útrap způsobených poškozenému nebo náhradu duševních útrap manžela, rodiče, dítěte nebo jiné osoby blízké poškozeného v případě usmrcení nebo zvlášť závažného ublížení na zdraví poškozeného. </w:t>
      </w:r>
    </w:p>
    <w:p w14:paraId="1A57E3DE" w14:textId="77777777" w:rsidR="00C646EF" w:rsidRPr="002278CA" w:rsidRDefault="00C646EF" w:rsidP="002F7F8D">
      <w:pPr>
        <w:pStyle w:val="Odstavecseseznamem"/>
        <w:numPr>
          <w:ilvl w:val="1"/>
          <w:numId w:val="9"/>
        </w:numPr>
        <w:spacing w:line="360" w:lineRule="auto"/>
        <w:rPr>
          <w:b/>
          <w:bCs/>
        </w:rPr>
      </w:pPr>
      <w:r w:rsidRPr="002278CA">
        <w:rPr>
          <w:b/>
          <w:bCs/>
        </w:rPr>
        <w:t>Obecní policie</w:t>
      </w:r>
    </w:p>
    <w:p w14:paraId="38CD8C32" w14:textId="40525A6A" w:rsidR="00C646EF" w:rsidRPr="002278CA" w:rsidRDefault="00C646EF" w:rsidP="002F7F8D">
      <w:pPr>
        <w:pStyle w:val="Odstavecseseznamem"/>
        <w:numPr>
          <w:ilvl w:val="2"/>
          <w:numId w:val="9"/>
        </w:numPr>
        <w:spacing w:line="360" w:lineRule="auto"/>
        <w:ind w:left="1276" w:hanging="788"/>
      </w:pPr>
      <w:r w:rsidRPr="002278CA">
        <w:t>Ujednává se, že pojištění se vztahuje i na odpovědnost za újmu způsobenou strážníky obecní policie při výkonu své působnosti, kromě újmy způsobené střelnou zbraní na zdraví nebo na</w:t>
      </w:r>
      <w:r w:rsidR="004A5D00">
        <w:t> </w:t>
      </w:r>
      <w:r w:rsidRPr="002278CA">
        <w:t xml:space="preserve">životě. Pro toto pojištění se sjednává roční limit pojistného plnění ve výši </w:t>
      </w:r>
      <w:r w:rsidR="002F469A" w:rsidRPr="002278CA">
        <w:t>1</w:t>
      </w:r>
      <w:r w:rsidR="00E60D25" w:rsidRPr="002278CA">
        <w:t>0 000</w:t>
      </w:r>
      <w:r w:rsidR="004A5D00">
        <w:t> </w:t>
      </w:r>
      <w:r w:rsidR="00E60D25" w:rsidRPr="002278CA">
        <w:t>000</w:t>
      </w:r>
      <w:r w:rsidR="004A5D00">
        <w:t> </w:t>
      </w:r>
      <w:r w:rsidRPr="002278CA">
        <w:t>Kč a</w:t>
      </w:r>
      <w:r w:rsidR="004A5D00">
        <w:t> </w:t>
      </w:r>
      <w:r w:rsidRPr="002278CA">
        <w:t xml:space="preserve">spoluúčast pojištěného na pojistném plnění ve výši </w:t>
      </w:r>
      <w:r w:rsidR="00E60D25" w:rsidRPr="002278CA">
        <w:t>10</w:t>
      </w:r>
      <w:r w:rsidR="004A5D00">
        <w:t> </w:t>
      </w:r>
      <w:r w:rsidR="00E60D25" w:rsidRPr="002278CA">
        <w:t>000</w:t>
      </w:r>
      <w:r w:rsidR="004A5D00">
        <w:t xml:space="preserve"> Kč.</w:t>
      </w:r>
    </w:p>
    <w:p w14:paraId="40883E1E" w14:textId="4725B505" w:rsidR="00C646EF" w:rsidRPr="002278CA" w:rsidRDefault="00C646EF" w:rsidP="002F7F8D">
      <w:pPr>
        <w:pStyle w:val="Odstavecseseznamem"/>
        <w:numPr>
          <w:ilvl w:val="1"/>
          <w:numId w:val="9"/>
        </w:numPr>
        <w:spacing w:line="360" w:lineRule="auto"/>
        <w:rPr>
          <w:b/>
          <w:bCs/>
        </w:rPr>
      </w:pPr>
      <w:r w:rsidRPr="002278CA">
        <w:rPr>
          <w:b/>
          <w:bCs/>
        </w:rPr>
        <w:t>Výkon vlastnických práv, správa a provoz nemovité věci</w:t>
      </w:r>
    </w:p>
    <w:p w14:paraId="45C3EA93" w14:textId="77777777" w:rsidR="00C646EF" w:rsidRDefault="00C646EF" w:rsidP="002F7F8D">
      <w:pPr>
        <w:pStyle w:val="Odstavecseseznamem"/>
        <w:numPr>
          <w:ilvl w:val="2"/>
          <w:numId w:val="9"/>
        </w:numPr>
        <w:spacing w:line="360" w:lineRule="auto"/>
        <w:ind w:left="1276" w:hanging="788"/>
      </w:pPr>
      <w:r>
        <w:t>Toto pojištění se vztahuje i na povinnost nahradit újmu způsobenou výkonem vlastnických práv k nemovitým věcem, správou a provozem těchto nemovitých věcí.</w:t>
      </w:r>
    </w:p>
    <w:p w14:paraId="080AF5E7" w14:textId="77777777" w:rsidR="00C646EF" w:rsidRPr="002278CA" w:rsidRDefault="00C646EF" w:rsidP="002F7F8D">
      <w:pPr>
        <w:pStyle w:val="Odstavecseseznamem"/>
        <w:numPr>
          <w:ilvl w:val="1"/>
          <w:numId w:val="9"/>
        </w:numPr>
        <w:spacing w:line="360" w:lineRule="auto"/>
        <w:rPr>
          <w:b/>
          <w:bCs/>
        </w:rPr>
      </w:pPr>
      <w:r w:rsidRPr="002278CA">
        <w:rPr>
          <w:b/>
          <w:bCs/>
        </w:rPr>
        <w:t>Věci užívané</w:t>
      </w:r>
    </w:p>
    <w:p w14:paraId="278852FF" w14:textId="77777777" w:rsidR="00C646EF" w:rsidRDefault="00C646EF" w:rsidP="002F7F8D">
      <w:pPr>
        <w:pStyle w:val="Odstavecseseznamem"/>
        <w:numPr>
          <w:ilvl w:val="2"/>
          <w:numId w:val="9"/>
        </w:numPr>
        <w:spacing w:after="120" w:line="360" w:lineRule="auto"/>
        <w:ind w:left="1276" w:hanging="788"/>
        <w:contextualSpacing w:val="0"/>
      </w:pPr>
      <w:r>
        <w:t>V případě pojištění povinnosti k náhradě újmy na věcech užívaných se pojištění v tomto rozsahu vztahuje také na škody vzniklé na věcech nemovitých.</w:t>
      </w:r>
    </w:p>
    <w:p w14:paraId="69401E4C" w14:textId="77777777" w:rsidR="00C646EF" w:rsidRPr="00506F1F" w:rsidRDefault="00C646EF" w:rsidP="002F7F8D">
      <w:pPr>
        <w:pStyle w:val="Odstavecseseznamem"/>
        <w:numPr>
          <w:ilvl w:val="0"/>
          <w:numId w:val="9"/>
        </w:numPr>
        <w:spacing w:line="360" w:lineRule="auto"/>
        <w:rPr>
          <w:b/>
          <w:bCs/>
        </w:rPr>
      </w:pPr>
      <w:r w:rsidRPr="00506F1F">
        <w:rPr>
          <w:b/>
          <w:bCs/>
        </w:rPr>
        <w:t>Onemocnění z potravin (výrobek)</w:t>
      </w:r>
    </w:p>
    <w:p w14:paraId="5BD74132" w14:textId="535002AA" w:rsidR="00C646EF" w:rsidRDefault="00C646EF" w:rsidP="002F7F8D">
      <w:pPr>
        <w:pStyle w:val="Odstavecseseznamem"/>
        <w:numPr>
          <w:ilvl w:val="1"/>
          <w:numId w:val="9"/>
        </w:numPr>
        <w:spacing w:line="360" w:lineRule="auto"/>
      </w:pPr>
      <w:r w:rsidRPr="002278CA">
        <w:t>Pojištění odpovědnosti za výrobek</w:t>
      </w:r>
      <w:r>
        <w:t xml:space="preserve"> se vztahuje i na povinnost pojištěného k náhradě újmy vzniklé v</w:t>
      </w:r>
      <w:r w:rsidR="004A5D00">
        <w:t> </w:t>
      </w:r>
      <w:r>
        <w:t>důsledku újmy na zdraví způsobené onemocněním z potravin (například salmonelóza, listerióza).</w:t>
      </w:r>
    </w:p>
    <w:sectPr w:rsidR="00C646EF" w:rsidSect="00615375">
      <w:headerReference w:type="even" r:id="rId10"/>
      <w:headerReference w:type="default" r:id="rId11"/>
      <w:footerReference w:type="even" r:id="rId12"/>
      <w:footerReference w:type="default" r:id="rId13"/>
      <w:headerReference w:type="first" r:id="rId14"/>
      <w:footerReference w:type="first" r:id="rId15"/>
      <w:pgSz w:w="11906" w:h="16838" w:code="9"/>
      <w:pgMar w:top="1134" w:right="1134" w:bottom="1134" w:left="1418" w:header="568"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8C1705" w14:textId="77777777" w:rsidR="00792974" w:rsidRDefault="00792974" w:rsidP="00ED2F62">
      <w:r>
        <w:separator/>
      </w:r>
    </w:p>
  </w:endnote>
  <w:endnote w:type="continuationSeparator" w:id="0">
    <w:p w14:paraId="5D0536E0" w14:textId="77777777" w:rsidR="00792974" w:rsidRDefault="00792974" w:rsidP="00ED2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5E546" w14:textId="77777777" w:rsidR="0055571E" w:rsidRDefault="0055571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1018779475"/>
      <w:docPartObj>
        <w:docPartGallery w:val="Page Numbers (Bottom of Page)"/>
        <w:docPartUnique/>
      </w:docPartObj>
    </w:sdtPr>
    <w:sdtEndPr/>
    <w:sdtContent>
      <w:p w14:paraId="544D51FF" w14:textId="7147CA12" w:rsidR="00615375" w:rsidRPr="00615375" w:rsidRDefault="00615375" w:rsidP="00615375">
        <w:pPr>
          <w:pStyle w:val="Zpat"/>
          <w:jc w:val="center"/>
          <w:rPr>
            <w:sz w:val="18"/>
          </w:rPr>
        </w:pPr>
        <w:r w:rsidRPr="00615375">
          <w:rPr>
            <w:sz w:val="18"/>
          </w:rPr>
          <w:fldChar w:fldCharType="begin"/>
        </w:r>
        <w:r w:rsidRPr="00615375">
          <w:rPr>
            <w:sz w:val="18"/>
          </w:rPr>
          <w:instrText>PAGE   \* MERGEFORMAT</w:instrText>
        </w:r>
        <w:r w:rsidRPr="00615375">
          <w:rPr>
            <w:sz w:val="18"/>
          </w:rPr>
          <w:fldChar w:fldCharType="separate"/>
        </w:r>
        <w:r w:rsidR="00300FF2">
          <w:rPr>
            <w:noProof/>
            <w:sz w:val="18"/>
          </w:rPr>
          <w:t>6</w:t>
        </w:r>
        <w:r w:rsidRPr="00615375">
          <w:rPr>
            <w:sz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F7261E" w14:textId="77777777" w:rsidR="00C371B6" w:rsidRPr="001246BD" w:rsidRDefault="00C371B6" w:rsidP="00ED2F62">
    <w:pPr>
      <w:pStyle w:val="Zpat"/>
    </w:pPr>
  </w:p>
  <w:p w14:paraId="037E47EF" w14:textId="77777777" w:rsidR="00C371B6" w:rsidRPr="001246BD" w:rsidRDefault="00C371B6" w:rsidP="00ED2F6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93F9CC" w14:textId="77777777" w:rsidR="00792974" w:rsidRDefault="00792974" w:rsidP="00ED2F62">
      <w:r>
        <w:separator/>
      </w:r>
    </w:p>
  </w:footnote>
  <w:footnote w:type="continuationSeparator" w:id="0">
    <w:p w14:paraId="4D78DA06" w14:textId="77777777" w:rsidR="00792974" w:rsidRDefault="00792974" w:rsidP="00ED2F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5ECA43" w14:textId="77777777" w:rsidR="0055571E" w:rsidRDefault="0055571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5072F" w14:textId="77777777" w:rsidR="00C371B6" w:rsidRDefault="00871740" w:rsidP="00ED2F62">
    <w:pPr>
      <w:pStyle w:val="Zhlav"/>
    </w:pPr>
    <w:r>
      <w:rPr>
        <w:noProof/>
      </w:rPr>
      <mc:AlternateContent>
        <mc:Choice Requires="wps">
          <w:drawing>
            <wp:anchor distT="0" distB="0" distL="114300" distR="114300" simplePos="0" relativeHeight="251666432" behindDoc="0" locked="0" layoutInCell="1" allowOverlap="1" wp14:anchorId="514A42E6" wp14:editId="28F54ADF">
              <wp:simplePos x="0" y="0"/>
              <wp:positionH relativeFrom="column">
                <wp:posOffset>-890905</wp:posOffset>
              </wp:positionH>
              <wp:positionV relativeFrom="paragraph">
                <wp:posOffset>-989330</wp:posOffset>
              </wp:positionV>
              <wp:extent cx="7548880" cy="1245738"/>
              <wp:effectExtent l="0" t="0" r="0" b="0"/>
              <wp:wrapNone/>
              <wp:docPr id="9" name="Obdélník 9"/>
              <wp:cNvGraphicFramePr/>
              <a:graphic xmlns:a="http://schemas.openxmlformats.org/drawingml/2006/main">
                <a:graphicData uri="http://schemas.microsoft.com/office/word/2010/wordprocessingShape">
                  <wps:wsp>
                    <wps:cNvSpPr/>
                    <wps:spPr>
                      <a:xfrm>
                        <a:off x="0" y="0"/>
                        <a:ext cx="7548880" cy="12457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7BCB44CC" id="Obdélník 9" o:spid="_x0000_s1026" style="position:absolute;margin-left:-70.15pt;margin-top:-77.9pt;width:594.4pt;height:98.1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" filled="f" stroked="f" strokeweight="2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FEB4" w14:textId="1A5CB5A3" w:rsidR="00615375" w:rsidRPr="00615375" w:rsidRDefault="00615375" w:rsidP="00615375">
    <w:pPr>
      <w:contextualSpacing/>
      <w:rPr>
        <w:rFonts w:cs="Arial"/>
        <w:sz w:val="18"/>
        <w:szCs w:val="18"/>
      </w:rPr>
    </w:pPr>
    <w:r w:rsidRPr="00615375">
      <w:rPr>
        <w:rFonts w:cs="Arial"/>
        <w:sz w:val="18"/>
        <w:szCs w:val="18"/>
      </w:rPr>
      <w:t xml:space="preserve">Veřejná zakázka </w:t>
    </w:r>
    <w:r w:rsidRPr="00615375">
      <w:rPr>
        <w:rFonts w:cs="Arial"/>
        <w:b/>
        <w:bCs/>
        <w:color w:val="000000"/>
        <w:sz w:val="18"/>
        <w:szCs w:val="18"/>
      </w:rPr>
      <w:t>Pojištění majetku, odpovědnosti, vozidel a lesů</w:t>
    </w:r>
  </w:p>
  <w:p w14:paraId="4DBEE501" w14:textId="77A98328" w:rsidR="00615375" w:rsidRPr="00615375" w:rsidRDefault="001F341E" w:rsidP="00615375">
    <w:pPr>
      <w:spacing w:after="120"/>
      <w:rPr>
        <w:rFonts w:cs="Arial"/>
        <w:b/>
        <w:sz w:val="18"/>
        <w:szCs w:val="18"/>
      </w:rPr>
    </w:pPr>
    <w:r>
      <w:rPr>
        <w:rFonts w:cs="Arial"/>
        <w:b/>
        <w:sz w:val="18"/>
        <w:szCs w:val="18"/>
      </w:rPr>
      <w:t>č</w:t>
    </w:r>
    <w:r w:rsidR="00615375" w:rsidRPr="00615375">
      <w:rPr>
        <w:rFonts w:cs="Arial"/>
        <w:b/>
        <w:sz w:val="18"/>
        <w:szCs w:val="18"/>
      </w:rPr>
      <w:t xml:space="preserve">ást 1 – </w:t>
    </w:r>
    <w:r w:rsidR="00615375" w:rsidRPr="00615375">
      <w:rPr>
        <w:rFonts w:cs="Arial"/>
        <w:b/>
        <w:bCs/>
        <w:color w:val="000000"/>
        <w:sz w:val="18"/>
        <w:szCs w:val="18"/>
      </w:rPr>
      <w:t>Pojištění majetku a odpovědnosti za škodu nebo jinou újmu</w:t>
    </w:r>
  </w:p>
  <w:p w14:paraId="734E178F" w14:textId="2D35B9BD" w:rsidR="00C371B6" w:rsidRPr="00615375" w:rsidRDefault="00615375" w:rsidP="00615375">
    <w:pPr>
      <w:ind w:right="-851"/>
      <w:rPr>
        <w:rFonts w:cs="Arial"/>
        <w:sz w:val="18"/>
        <w:szCs w:val="18"/>
      </w:rPr>
    </w:pPr>
    <w:r w:rsidRPr="0055571E">
      <w:rPr>
        <w:b/>
        <w:sz w:val="18"/>
        <w:szCs w:val="18"/>
      </w:rPr>
      <w:t>Příloha č. 1.1</w:t>
    </w:r>
    <w:r w:rsidRPr="00615375">
      <w:rPr>
        <w:sz w:val="18"/>
        <w:szCs w:val="18"/>
      </w:rPr>
      <w:t xml:space="preserve"> </w:t>
    </w:r>
    <w:r w:rsidRPr="00615375">
      <w:rPr>
        <w:rFonts w:cs="Arial"/>
        <w:sz w:val="18"/>
        <w:szCs w:val="18"/>
      </w:rPr>
      <w:t>Zadávací dokumentace</w:t>
    </w:r>
    <w:r w:rsidRPr="00615375">
      <w:rPr>
        <w:rFonts w:eastAsia="Arial" w:cs="Arial"/>
        <w:sz w:val="18"/>
        <w:szCs w:val="18"/>
      </w:rPr>
      <w:t xml:space="preserve"> / smlouvy </w:t>
    </w:r>
    <w:r w:rsidRPr="00615375">
      <w:rPr>
        <w:sz w:val="18"/>
        <w:szCs w:val="18"/>
      </w:rPr>
      <w:t xml:space="preserve">– </w:t>
    </w:r>
    <w:r w:rsidRPr="00615375">
      <w:rPr>
        <w:rFonts w:cs="Arial"/>
        <w:b/>
        <w:bCs/>
        <w:color w:val="000000"/>
        <w:sz w:val="18"/>
        <w:szCs w:val="18"/>
      </w:rPr>
      <w:t>Zvláštní smluvní ujednání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86C8B44"/>
    <w:lvl w:ilvl="0">
      <w:start w:val="1"/>
      <w:numFmt w:val="bullet"/>
      <w:pStyle w:val="Seznamsodrkami"/>
      <w:lvlText w:val=""/>
      <w:lvlJc w:val="left"/>
      <w:pPr>
        <w:tabs>
          <w:tab w:val="num" w:pos="360"/>
        </w:tabs>
        <w:ind w:left="360" w:hanging="360"/>
      </w:pPr>
      <w:rPr>
        <w:rFonts w:ascii="Wingdings" w:hAnsi="Wingdings" w:hint="default"/>
        <w:sz w:val="24"/>
      </w:rPr>
    </w:lvl>
  </w:abstractNum>
  <w:abstractNum w:abstractNumId="1" w15:restartNumberingAfterBreak="0">
    <w:nsid w:val="15EA6B9F"/>
    <w:multiLevelType w:val="multilevel"/>
    <w:tmpl w:val="1FC426C2"/>
    <w:lvl w:ilvl="0">
      <w:start w:val="1"/>
      <w:numFmt w:val="decimal"/>
      <w:lvlText w:val="%1."/>
      <w:lvlJc w:val="left"/>
      <w:pPr>
        <w:ind w:left="356" w:hanging="360"/>
      </w:pPr>
    </w:lvl>
    <w:lvl w:ilvl="1">
      <w:start w:val="1"/>
      <w:numFmt w:val="decimal"/>
      <w:lvlText w:val="%1.%2."/>
      <w:lvlJc w:val="left"/>
      <w:pPr>
        <w:ind w:left="428" w:hanging="432"/>
      </w:pPr>
      <w:rPr>
        <w:b/>
        <w:bCs/>
        <w:color w:val="000000"/>
      </w:rPr>
    </w:lvl>
    <w:lvl w:ilvl="2">
      <w:start w:val="1"/>
      <w:numFmt w:val="decimal"/>
      <w:lvlText w:val="%1.%2.%3."/>
      <w:lvlJc w:val="left"/>
      <w:pPr>
        <w:ind w:left="1220" w:hanging="504"/>
      </w:pPr>
    </w:lvl>
    <w:lvl w:ilvl="3">
      <w:start w:val="1"/>
      <w:numFmt w:val="decimal"/>
      <w:lvlText w:val="%1.%2.%3.%4."/>
      <w:lvlJc w:val="left"/>
      <w:pPr>
        <w:ind w:left="1724" w:hanging="648"/>
      </w:pPr>
    </w:lvl>
    <w:lvl w:ilvl="4">
      <w:start w:val="1"/>
      <w:numFmt w:val="decimal"/>
      <w:lvlText w:val="%1.%2.%3.%4.%5."/>
      <w:lvlJc w:val="left"/>
      <w:pPr>
        <w:ind w:left="2228" w:hanging="792"/>
      </w:pPr>
    </w:lvl>
    <w:lvl w:ilvl="5">
      <w:start w:val="1"/>
      <w:numFmt w:val="decimal"/>
      <w:lvlText w:val="%1.%2.%3.%4.%5.%6."/>
      <w:lvlJc w:val="left"/>
      <w:pPr>
        <w:ind w:left="2732" w:hanging="936"/>
      </w:pPr>
    </w:lvl>
    <w:lvl w:ilvl="6">
      <w:start w:val="1"/>
      <w:numFmt w:val="decimal"/>
      <w:lvlText w:val="%1.%2.%3.%4.%5.%6.%7."/>
      <w:lvlJc w:val="left"/>
      <w:pPr>
        <w:ind w:left="3236" w:hanging="1080"/>
      </w:pPr>
    </w:lvl>
    <w:lvl w:ilvl="7">
      <w:start w:val="1"/>
      <w:numFmt w:val="decimal"/>
      <w:lvlText w:val="%1.%2.%3.%4.%5.%6.%7.%8."/>
      <w:lvlJc w:val="left"/>
      <w:pPr>
        <w:ind w:left="3740" w:hanging="1224"/>
      </w:pPr>
    </w:lvl>
    <w:lvl w:ilvl="8">
      <w:start w:val="1"/>
      <w:numFmt w:val="decimal"/>
      <w:lvlText w:val="%1.%2.%3.%4.%5.%6.%7.%8.%9."/>
      <w:lvlJc w:val="left"/>
      <w:pPr>
        <w:ind w:left="4316" w:hanging="1440"/>
      </w:pPr>
    </w:lvl>
  </w:abstractNum>
  <w:abstractNum w:abstractNumId="2" w15:restartNumberingAfterBreak="0">
    <w:nsid w:val="1A0274DD"/>
    <w:multiLevelType w:val="multilevel"/>
    <w:tmpl w:val="271CCF9A"/>
    <w:lvl w:ilvl="0">
      <w:start w:val="1"/>
      <w:numFmt w:val="decimal"/>
      <w:lvlText w:val="%1)"/>
      <w:lvlJc w:val="left"/>
      <w:pPr>
        <w:tabs>
          <w:tab w:val="num" w:pos="643"/>
        </w:tabs>
        <w:ind w:left="643" w:hanging="360"/>
      </w:pPr>
      <w:rPr>
        <w:rFonts w:hint="default"/>
      </w:rPr>
    </w:lvl>
    <w:lvl w:ilvl="1">
      <w:start w:val="1"/>
      <w:numFmt w:val="lowerLetter"/>
      <w:pStyle w:val="slovanseznam2"/>
      <w:lvlText w:val="%2)"/>
      <w:lvlJc w:val="left"/>
      <w:pPr>
        <w:tabs>
          <w:tab w:val="num" w:pos="1003"/>
        </w:tabs>
        <w:ind w:left="1003" w:hanging="360"/>
      </w:pPr>
      <w:rPr>
        <w:rFonts w:hint="default"/>
      </w:rPr>
    </w:lvl>
    <w:lvl w:ilvl="2">
      <w:start w:val="1"/>
      <w:numFmt w:val="lowerRoman"/>
      <w:lvlText w:val="%3)"/>
      <w:lvlJc w:val="left"/>
      <w:pPr>
        <w:tabs>
          <w:tab w:val="num" w:pos="1363"/>
        </w:tabs>
        <w:ind w:left="1363" w:hanging="360"/>
      </w:pPr>
      <w:rPr>
        <w:rFonts w:hint="default"/>
      </w:rPr>
    </w:lvl>
    <w:lvl w:ilvl="3">
      <w:start w:val="1"/>
      <w:numFmt w:val="decimal"/>
      <w:lvlText w:val="(%4)"/>
      <w:lvlJc w:val="left"/>
      <w:pPr>
        <w:tabs>
          <w:tab w:val="num" w:pos="1723"/>
        </w:tabs>
        <w:ind w:left="1723" w:hanging="360"/>
      </w:pPr>
      <w:rPr>
        <w:rFonts w:hint="default"/>
      </w:rPr>
    </w:lvl>
    <w:lvl w:ilvl="4">
      <w:start w:val="1"/>
      <w:numFmt w:val="lowerLetter"/>
      <w:lvlText w:val="(%5)"/>
      <w:lvlJc w:val="left"/>
      <w:pPr>
        <w:tabs>
          <w:tab w:val="num" w:pos="2083"/>
        </w:tabs>
        <w:ind w:left="2083" w:hanging="360"/>
      </w:pPr>
      <w:rPr>
        <w:rFonts w:hint="default"/>
      </w:rPr>
    </w:lvl>
    <w:lvl w:ilvl="5">
      <w:numFmt w:val="none"/>
      <w:lvlText w:val=""/>
      <w:lvlJc w:val="left"/>
      <w:pPr>
        <w:tabs>
          <w:tab w:val="num" w:pos="360"/>
        </w:tabs>
      </w:pPr>
    </w:lvl>
    <w:lvl w:ilvl="6">
      <w:start w:val="1"/>
      <w:numFmt w:val="decimal"/>
      <w:lvlText w:val="%7."/>
      <w:lvlJc w:val="left"/>
      <w:pPr>
        <w:tabs>
          <w:tab w:val="num" w:pos="2803"/>
        </w:tabs>
        <w:ind w:left="2803" w:hanging="360"/>
      </w:pPr>
      <w:rPr>
        <w:rFonts w:hint="default"/>
      </w:rPr>
    </w:lvl>
    <w:lvl w:ilvl="7">
      <w:start w:val="1"/>
      <w:numFmt w:val="lowerLetter"/>
      <w:lvlText w:val="%8."/>
      <w:lvlJc w:val="left"/>
      <w:pPr>
        <w:tabs>
          <w:tab w:val="num" w:pos="3163"/>
        </w:tabs>
        <w:ind w:left="3163" w:hanging="360"/>
      </w:pPr>
      <w:rPr>
        <w:rFonts w:hint="default"/>
      </w:rPr>
    </w:lvl>
    <w:lvl w:ilvl="8">
      <w:start w:val="1"/>
      <w:numFmt w:val="lowerRoman"/>
      <w:lvlText w:val="%9."/>
      <w:lvlJc w:val="left"/>
      <w:pPr>
        <w:tabs>
          <w:tab w:val="num" w:pos="3523"/>
        </w:tabs>
        <w:ind w:left="3523" w:hanging="360"/>
      </w:pPr>
      <w:rPr>
        <w:rFonts w:hint="default"/>
      </w:rPr>
    </w:lvl>
  </w:abstractNum>
  <w:abstractNum w:abstractNumId="3" w15:restartNumberingAfterBreak="0">
    <w:nsid w:val="1BA41D73"/>
    <w:multiLevelType w:val="hybridMultilevel"/>
    <w:tmpl w:val="0CB24B68"/>
    <w:lvl w:ilvl="0" w:tplc="381E6602">
      <w:start w:val="1"/>
      <w:numFmt w:val="bullet"/>
      <w:pStyle w:val="Odstavecseseznamem"/>
      <w:lvlText w:val="n"/>
      <w:lvlJc w:val="left"/>
      <w:pPr>
        <w:ind w:left="720" w:hanging="360"/>
      </w:pPr>
      <w:rPr>
        <w:rFonts w:ascii="Wingdings" w:hAnsi="Wingdings" w:hint="default"/>
        <w:caps w:val="0"/>
        <w:color w:val="71C5E8"/>
        <w:w w:val="100"/>
        <w:u w:color="FFFFFF" w:themeColor="background1"/>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E8B55FF"/>
    <w:multiLevelType w:val="hybridMultilevel"/>
    <w:tmpl w:val="E562A1FC"/>
    <w:lvl w:ilvl="0" w:tplc="B13487A2">
      <w:start w:val="1"/>
      <w:numFmt w:val="decimal"/>
      <w:pStyle w:val="N2"/>
      <w:lvlText w:val="1.%1."/>
      <w:lvlJc w:val="left"/>
      <w:pPr>
        <w:ind w:left="360" w:hanging="360"/>
      </w:pPr>
      <w:rPr>
        <w:color w:val="00B0F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37DE7DDA"/>
    <w:multiLevelType w:val="multilevel"/>
    <w:tmpl w:val="A4B66B28"/>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b/>
        <w:color w:val="003865"/>
        <w:sz w:val="24"/>
        <w:szCs w:val="24"/>
      </w:r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49B85C5D"/>
    <w:multiLevelType w:val="multilevel"/>
    <w:tmpl w:val="226019B0"/>
    <w:lvl w:ilvl="0">
      <w:start w:val="1"/>
      <w:numFmt w:val="decimal"/>
      <w:pStyle w:val="N1"/>
      <w:lvlText w:val="%1."/>
      <w:lvlJc w:val="left"/>
      <w:pPr>
        <w:ind w:left="360" w:hanging="360"/>
      </w:pPr>
      <w:rPr>
        <w:b w:val="0"/>
        <w:color w:val="00B0F0"/>
      </w:rPr>
    </w:lvl>
    <w:lvl w:ilvl="1">
      <w:start w:val="1"/>
      <w:numFmt w:val="decimal"/>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080" w:hanging="1080"/>
      </w:pPr>
    </w:lvl>
    <w:lvl w:ilvl="5">
      <w:start w:val="1"/>
      <w:numFmt w:val="decimal"/>
      <w:isLgl/>
      <w:lvlText w:val="%1.%2.%3.%4.%5.%6."/>
      <w:lvlJc w:val="left"/>
      <w:pPr>
        <w:ind w:left="1440" w:hanging="1440"/>
      </w:pPr>
    </w:lvl>
    <w:lvl w:ilvl="6">
      <w:start w:val="1"/>
      <w:numFmt w:val="decimal"/>
      <w:isLgl/>
      <w:lvlText w:val="%1.%2.%3.%4.%5.%6.%7."/>
      <w:lvlJc w:val="left"/>
      <w:pPr>
        <w:ind w:left="1440" w:hanging="1440"/>
      </w:pPr>
    </w:lvl>
    <w:lvl w:ilvl="7">
      <w:start w:val="1"/>
      <w:numFmt w:val="decimal"/>
      <w:isLgl/>
      <w:lvlText w:val="%1.%2.%3.%4.%5.%6.%7.%8."/>
      <w:lvlJc w:val="left"/>
      <w:pPr>
        <w:ind w:left="1800" w:hanging="1800"/>
      </w:pPr>
    </w:lvl>
    <w:lvl w:ilvl="8">
      <w:start w:val="1"/>
      <w:numFmt w:val="decimal"/>
      <w:isLgl/>
      <w:lvlText w:val="%1.%2.%3.%4.%5.%6.%7.%8.%9."/>
      <w:lvlJc w:val="left"/>
      <w:pPr>
        <w:ind w:left="1800" w:hanging="1800"/>
      </w:pPr>
    </w:lvl>
  </w:abstractNum>
  <w:abstractNum w:abstractNumId="7" w15:restartNumberingAfterBreak="0">
    <w:nsid w:val="4CA631EC"/>
    <w:multiLevelType w:val="multilevel"/>
    <w:tmpl w:val="63EE06D6"/>
    <w:lvl w:ilvl="0">
      <w:start w:val="1"/>
      <w:numFmt w:val="decimal"/>
      <w:pStyle w:val="slovanseznam"/>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5A4E2E05"/>
    <w:multiLevelType w:val="hybridMultilevel"/>
    <w:tmpl w:val="4B2416DE"/>
    <w:lvl w:ilvl="0" w:tplc="CBD07DB0">
      <w:start w:val="1"/>
      <w:numFmt w:val="decimal"/>
      <w:pStyle w:val="selnseznam"/>
      <w:lvlText w:val="%1."/>
      <w:lvlJc w:val="left"/>
      <w:pPr>
        <w:ind w:left="720" w:hanging="360"/>
      </w:pPr>
      <w:rPr>
        <w:rFonts w:hint="default"/>
        <w:b/>
        <w:i w:val="0"/>
        <w:color w:val="003865"/>
        <w:u w:color="FFFFFF" w:themeColor="background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0"/>
  </w:num>
  <w:num w:numId="4">
    <w:abstractNumId w:val="5"/>
  </w:num>
  <w:num w:numId="5">
    <w:abstractNumId w:val="8"/>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1"/>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086"/>
    <w:rsid w:val="00003285"/>
    <w:rsid w:val="00015E2A"/>
    <w:rsid w:val="00041DF8"/>
    <w:rsid w:val="00050B05"/>
    <w:rsid w:val="00085E1D"/>
    <w:rsid w:val="0009390E"/>
    <w:rsid w:val="000B6350"/>
    <w:rsid w:val="000C4CAF"/>
    <w:rsid w:val="000D301C"/>
    <w:rsid w:val="000E240F"/>
    <w:rsid w:val="000E3477"/>
    <w:rsid w:val="000E365F"/>
    <w:rsid w:val="000E52DE"/>
    <w:rsid w:val="000F4929"/>
    <w:rsid w:val="000F5E22"/>
    <w:rsid w:val="000F6949"/>
    <w:rsid w:val="00107656"/>
    <w:rsid w:val="001246BD"/>
    <w:rsid w:val="001402A1"/>
    <w:rsid w:val="0014181C"/>
    <w:rsid w:val="0015110A"/>
    <w:rsid w:val="00154733"/>
    <w:rsid w:val="00162279"/>
    <w:rsid w:val="001659B6"/>
    <w:rsid w:val="00174B06"/>
    <w:rsid w:val="00180445"/>
    <w:rsid w:val="001978A4"/>
    <w:rsid w:val="001A6F0E"/>
    <w:rsid w:val="001B2F72"/>
    <w:rsid w:val="001D4165"/>
    <w:rsid w:val="001D70A4"/>
    <w:rsid w:val="001E4B3E"/>
    <w:rsid w:val="001F341E"/>
    <w:rsid w:val="00202251"/>
    <w:rsid w:val="00225053"/>
    <w:rsid w:val="002278CA"/>
    <w:rsid w:val="00230F92"/>
    <w:rsid w:val="0023342E"/>
    <w:rsid w:val="00244825"/>
    <w:rsid w:val="00256F10"/>
    <w:rsid w:val="00263453"/>
    <w:rsid w:val="002776E5"/>
    <w:rsid w:val="0028051C"/>
    <w:rsid w:val="00283ECD"/>
    <w:rsid w:val="002856B6"/>
    <w:rsid w:val="00286876"/>
    <w:rsid w:val="00295812"/>
    <w:rsid w:val="002A1EAC"/>
    <w:rsid w:val="002B4496"/>
    <w:rsid w:val="002D513D"/>
    <w:rsid w:val="002E000E"/>
    <w:rsid w:val="002E4F07"/>
    <w:rsid w:val="002F469A"/>
    <w:rsid w:val="002F7F8D"/>
    <w:rsid w:val="00300FF2"/>
    <w:rsid w:val="00306E2E"/>
    <w:rsid w:val="00317016"/>
    <w:rsid w:val="003316A7"/>
    <w:rsid w:val="003547C7"/>
    <w:rsid w:val="003566DB"/>
    <w:rsid w:val="00360DD0"/>
    <w:rsid w:val="0037336C"/>
    <w:rsid w:val="003947EE"/>
    <w:rsid w:val="00394FF6"/>
    <w:rsid w:val="003A6AA5"/>
    <w:rsid w:val="003B17E5"/>
    <w:rsid w:val="003C5717"/>
    <w:rsid w:val="003D4888"/>
    <w:rsid w:val="003E6A45"/>
    <w:rsid w:val="003E7155"/>
    <w:rsid w:val="00406A79"/>
    <w:rsid w:val="0041697E"/>
    <w:rsid w:val="004340BD"/>
    <w:rsid w:val="00455952"/>
    <w:rsid w:val="00464C4B"/>
    <w:rsid w:val="00490EBE"/>
    <w:rsid w:val="00497D94"/>
    <w:rsid w:val="004A5503"/>
    <w:rsid w:val="004A5D00"/>
    <w:rsid w:val="00500364"/>
    <w:rsid w:val="00506F1F"/>
    <w:rsid w:val="00515D29"/>
    <w:rsid w:val="00523683"/>
    <w:rsid w:val="00531461"/>
    <w:rsid w:val="0054209F"/>
    <w:rsid w:val="00543EA5"/>
    <w:rsid w:val="00545B91"/>
    <w:rsid w:val="0055571E"/>
    <w:rsid w:val="00562B08"/>
    <w:rsid w:val="0057094F"/>
    <w:rsid w:val="005B41F5"/>
    <w:rsid w:val="005D3789"/>
    <w:rsid w:val="005F63C0"/>
    <w:rsid w:val="005F74B3"/>
    <w:rsid w:val="00607447"/>
    <w:rsid w:val="00615375"/>
    <w:rsid w:val="00620169"/>
    <w:rsid w:val="00623D1D"/>
    <w:rsid w:val="006311C8"/>
    <w:rsid w:val="0065779D"/>
    <w:rsid w:val="00693353"/>
    <w:rsid w:val="006A198E"/>
    <w:rsid w:val="006A7175"/>
    <w:rsid w:val="006B399C"/>
    <w:rsid w:val="006E2934"/>
    <w:rsid w:val="006E55E7"/>
    <w:rsid w:val="00713CD7"/>
    <w:rsid w:val="00716DF9"/>
    <w:rsid w:val="00717D0D"/>
    <w:rsid w:val="007428B0"/>
    <w:rsid w:val="00744B9E"/>
    <w:rsid w:val="00745841"/>
    <w:rsid w:val="007560E6"/>
    <w:rsid w:val="007606C4"/>
    <w:rsid w:val="007766F5"/>
    <w:rsid w:val="007858B7"/>
    <w:rsid w:val="00792974"/>
    <w:rsid w:val="00793B65"/>
    <w:rsid w:val="007A5208"/>
    <w:rsid w:val="007A5B0F"/>
    <w:rsid w:val="007D4C11"/>
    <w:rsid w:val="007E7CED"/>
    <w:rsid w:val="00800EEC"/>
    <w:rsid w:val="00814A88"/>
    <w:rsid w:val="0082375B"/>
    <w:rsid w:val="00824FD3"/>
    <w:rsid w:val="00834143"/>
    <w:rsid w:val="008524B9"/>
    <w:rsid w:val="00864CCE"/>
    <w:rsid w:val="00871740"/>
    <w:rsid w:val="00874C96"/>
    <w:rsid w:val="00876664"/>
    <w:rsid w:val="008B08D7"/>
    <w:rsid w:val="008D05C5"/>
    <w:rsid w:val="008D759F"/>
    <w:rsid w:val="008F1C5E"/>
    <w:rsid w:val="008F57E7"/>
    <w:rsid w:val="008F61AF"/>
    <w:rsid w:val="008F79D1"/>
    <w:rsid w:val="0093128E"/>
    <w:rsid w:val="00941086"/>
    <w:rsid w:val="00942027"/>
    <w:rsid w:val="00953B90"/>
    <w:rsid w:val="00986AE7"/>
    <w:rsid w:val="009945AC"/>
    <w:rsid w:val="009A7F28"/>
    <w:rsid w:val="009B7405"/>
    <w:rsid w:val="009B7679"/>
    <w:rsid w:val="009E0F41"/>
    <w:rsid w:val="009E3B70"/>
    <w:rsid w:val="009E4DA0"/>
    <w:rsid w:val="00A12D59"/>
    <w:rsid w:val="00A137CE"/>
    <w:rsid w:val="00A20CE7"/>
    <w:rsid w:val="00A2739D"/>
    <w:rsid w:val="00A32780"/>
    <w:rsid w:val="00A35EE6"/>
    <w:rsid w:val="00A3678A"/>
    <w:rsid w:val="00A43AD8"/>
    <w:rsid w:val="00A70AA9"/>
    <w:rsid w:val="00A722E7"/>
    <w:rsid w:val="00A85B84"/>
    <w:rsid w:val="00A96205"/>
    <w:rsid w:val="00AB6C90"/>
    <w:rsid w:val="00AD75B9"/>
    <w:rsid w:val="00AE0061"/>
    <w:rsid w:val="00B0481E"/>
    <w:rsid w:val="00B225EB"/>
    <w:rsid w:val="00B22B78"/>
    <w:rsid w:val="00B26621"/>
    <w:rsid w:val="00B33DCA"/>
    <w:rsid w:val="00B447D6"/>
    <w:rsid w:val="00B538D3"/>
    <w:rsid w:val="00B802B9"/>
    <w:rsid w:val="00B86D8F"/>
    <w:rsid w:val="00B9441A"/>
    <w:rsid w:val="00BC3F1E"/>
    <w:rsid w:val="00BC75CF"/>
    <w:rsid w:val="00BD72A6"/>
    <w:rsid w:val="00BE179E"/>
    <w:rsid w:val="00BE39A5"/>
    <w:rsid w:val="00C01D48"/>
    <w:rsid w:val="00C26E71"/>
    <w:rsid w:val="00C35774"/>
    <w:rsid w:val="00C371B6"/>
    <w:rsid w:val="00C435A4"/>
    <w:rsid w:val="00C6387F"/>
    <w:rsid w:val="00C646EF"/>
    <w:rsid w:val="00C8356E"/>
    <w:rsid w:val="00C96950"/>
    <w:rsid w:val="00CB156A"/>
    <w:rsid w:val="00CD27B4"/>
    <w:rsid w:val="00D10ECB"/>
    <w:rsid w:val="00D274A7"/>
    <w:rsid w:val="00D316B7"/>
    <w:rsid w:val="00D36C10"/>
    <w:rsid w:val="00D7148D"/>
    <w:rsid w:val="00D73743"/>
    <w:rsid w:val="00D80D54"/>
    <w:rsid w:val="00D82BD3"/>
    <w:rsid w:val="00D86C0C"/>
    <w:rsid w:val="00D97FEF"/>
    <w:rsid w:val="00DB78F8"/>
    <w:rsid w:val="00DD609B"/>
    <w:rsid w:val="00DE1DD4"/>
    <w:rsid w:val="00DE34F6"/>
    <w:rsid w:val="00DE5EBE"/>
    <w:rsid w:val="00E22A77"/>
    <w:rsid w:val="00E30543"/>
    <w:rsid w:val="00E40B20"/>
    <w:rsid w:val="00E56437"/>
    <w:rsid w:val="00E60D25"/>
    <w:rsid w:val="00E76BC1"/>
    <w:rsid w:val="00E80808"/>
    <w:rsid w:val="00EA4349"/>
    <w:rsid w:val="00EA5CBD"/>
    <w:rsid w:val="00EB4D64"/>
    <w:rsid w:val="00EB5B63"/>
    <w:rsid w:val="00ED262B"/>
    <w:rsid w:val="00ED2F62"/>
    <w:rsid w:val="00F01DB9"/>
    <w:rsid w:val="00F200B0"/>
    <w:rsid w:val="00F2465C"/>
    <w:rsid w:val="00F25EDD"/>
    <w:rsid w:val="00F45DAA"/>
    <w:rsid w:val="00F46B2F"/>
    <w:rsid w:val="00F66621"/>
    <w:rsid w:val="00F75856"/>
    <w:rsid w:val="00F76EE7"/>
    <w:rsid w:val="00F845C2"/>
    <w:rsid w:val="00F84A1C"/>
    <w:rsid w:val="00F94C14"/>
    <w:rsid w:val="00F97188"/>
    <w:rsid w:val="00FD2B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A69B93"/>
  <w15:chartTrackingRefBased/>
  <w15:docId w15:val="{3F55A953-D930-4A36-9176-1CF2F2CE4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D2F62"/>
    <w:pPr>
      <w:spacing w:line="276" w:lineRule="auto"/>
      <w:jc w:val="both"/>
    </w:pPr>
    <w:rPr>
      <w:rFonts w:ascii="Arial" w:hAnsi="Arial"/>
      <w:szCs w:val="24"/>
    </w:rPr>
  </w:style>
  <w:style w:type="paragraph" w:styleId="Nadpis1">
    <w:name w:val="heading 1"/>
    <w:basedOn w:val="Normln"/>
    <w:next w:val="Normln"/>
    <w:qFormat/>
    <w:rsid w:val="0037336C"/>
    <w:pPr>
      <w:spacing w:before="240" w:after="240"/>
      <w:jc w:val="left"/>
      <w:outlineLvl w:val="0"/>
    </w:pPr>
    <w:rPr>
      <w:rFonts w:ascii="Georgia" w:hAnsi="Georgia"/>
      <w:b/>
      <w:color w:val="71C5E8"/>
      <w:sz w:val="36"/>
      <w:szCs w:val="21"/>
    </w:rPr>
  </w:style>
  <w:style w:type="paragraph" w:styleId="Nadpis2">
    <w:name w:val="heading 2"/>
    <w:basedOn w:val="Normln"/>
    <w:next w:val="Normln"/>
    <w:qFormat/>
    <w:rsid w:val="00B225EB"/>
    <w:pPr>
      <w:spacing w:before="240" w:after="240"/>
      <w:jc w:val="left"/>
      <w:outlineLvl w:val="1"/>
    </w:pPr>
    <w:rPr>
      <w:b/>
      <w:color w:val="003865"/>
      <w:sz w:val="28"/>
      <w:szCs w:val="21"/>
    </w:rPr>
  </w:style>
  <w:style w:type="paragraph" w:styleId="Nadpis3">
    <w:name w:val="heading 3"/>
    <w:basedOn w:val="Odstavecseseznamem"/>
    <w:next w:val="Normln"/>
    <w:qFormat/>
    <w:rsid w:val="00B225EB"/>
    <w:pPr>
      <w:numPr>
        <w:numId w:val="0"/>
      </w:numPr>
      <w:spacing w:before="120" w:after="120"/>
      <w:jc w:val="left"/>
      <w:outlineLvl w:val="2"/>
    </w:pPr>
    <w:rPr>
      <w:b/>
      <w:color w:val="003865"/>
      <w:sz w:val="24"/>
    </w:rPr>
  </w:style>
  <w:style w:type="paragraph" w:styleId="Nadpis4">
    <w:name w:val="heading 4"/>
    <w:basedOn w:val="Normln"/>
    <w:next w:val="Normln"/>
    <w:link w:val="Nadpis4Char"/>
    <w:semiHidden/>
    <w:unhideWhenUsed/>
    <w:qFormat/>
    <w:rsid w:val="00BE39A5"/>
    <w:pPr>
      <w:keepNext/>
      <w:keepLines/>
      <w:numPr>
        <w:ilvl w:val="3"/>
        <w:numId w:val="4"/>
      </w:numPr>
      <w:spacing w:before="40"/>
      <w:outlineLvl w:val="3"/>
    </w:pPr>
    <w:rPr>
      <w:rFonts w:asciiTheme="majorHAnsi" w:eastAsiaTheme="majorEastAsia" w:hAnsiTheme="majorHAnsi" w:cstheme="majorBidi"/>
      <w:i/>
      <w:iCs/>
      <w:color w:val="00294B" w:themeColor="accent1" w:themeShade="BF"/>
    </w:rPr>
  </w:style>
  <w:style w:type="paragraph" w:styleId="Nadpis5">
    <w:name w:val="heading 5"/>
    <w:basedOn w:val="Normln"/>
    <w:next w:val="Normln"/>
    <w:link w:val="Nadpis5Char"/>
    <w:uiPriority w:val="9"/>
    <w:semiHidden/>
    <w:unhideWhenUsed/>
    <w:qFormat/>
    <w:rsid w:val="00BE39A5"/>
    <w:pPr>
      <w:keepNext/>
      <w:keepLines/>
      <w:numPr>
        <w:ilvl w:val="4"/>
        <w:numId w:val="4"/>
      </w:numPr>
      <w:spacing w:before="40"/>
      <w:outlineLvl w:val="4"/>
    </w:pPr>
    <w:rPr>
      <w:rFonts w:asciiTheme="majorHAnsi" w:eastAsiaTheme="majorEastAsia" w:hAnsiTheme="majorHAnsi" w:cstheme="majorBidi"/>
      <w:color w:val="00294B" w:themeColor="accent1" w:themeShade="BF"/>
    </w:rPr>
  </w:style>
  <w:style w:type="paragraph" w:styleId="Nadpis6">
    <w:name w:val="heading 6"/>
    <w:basedOn w:val="Normln"/>
    <w:next w:val="Normln"/>
    <w:link w:val="Nadpis6Char"/>
    <w:uiPriority w:val="9"/>
    <w:semiHidden/>
    <w:unhideWhenUsed/>
    <w:qFormat/>
    <w:rsid w:val="00BE39A5"/>
    <w:pPr>
      <w:keepNext/>
      <w:keepLines/>
      <w:numPr>
        <w:ilvl w:val="5"/>
        <w:numId w:val="4"/>
      </w:numPr>
      <w:spacing w:before="40"/>
      <w:outlineLvl w:val="5"/>
    </w:pPr>
    <w:rPr>
      <w:rFonts w:asciiTheme="majorHAnsi" w:eastAsiaTheme="majorEastAsia" w:hAnsiTheme="majorHAnsi" w:cstheme="majorBidi"/>
      <w:color w:val="001B32" w:themeColor="accent1" w:themeShade="7F"/>
    </w:rPr>
  </w:style>
  <w:style w:type="paragraph" w:styleId="Nadpis7">
    <w:name w:val="heading 7"/>
    <w:basedOn w:val="Normln"/>
    <w:next w:val="Normln"/>
    <w:link w:val="Nadpis7Char"/>
    <w:uiPriority w:val="9"/>
    <w:semiHidden/>
    <w:unhideWhenUsed/>
    <w:qFormat/>
    <w:rsid w:val="00BE39A5"/>
    <w:pPr>
      <w:keepNext/>
      <w:keepLines/>
      <w:numPr>
        <w:ilvl w:val="6"/>
        <w:numId w:val="4"/>
      </w:numPr>
      <w:spacing w:before="40"/>
      <w:outlineLvl w:val="6"/>
    </w:pPr>
    <w:rPr>
      <w:rFonts w:asciiTheme="majorHAnsi" w:eastAsiaTheme="majorEastAsia" w:hAnsiTheme="majorHAnsi" w:cstheme="majorBidi"/>
      <w:i/>
      <w:iCs/>
      <w:color w:val="001B32" w:themeColor="accent1" w:themeShade="7F"/>
    </w:rPr>
  </w:style>
  <w:style w:type="paragraph" w:styleId="Nadpis8">
    <w:name w:val="heading 8"/>
    <w:basedOn w:val="Normln"/>
    <w:next w:val="Normln"/>
    <w:link w:val="Nadpis8Char"/>
    <w:uiPriority w:val="9"/>
    <w:semiHidden/>
    <w:unhideWhenUsed/>
    <w:qFormat/>
    <w:rsid w:val="00BE39A5"/>
    <w:pPr>
      <w:keepNext/>
      <w:keepLines/>
      <w:numPr>
        <w:ilvl w:val="7"/>
        <w:numId w:val="4"/>
      </w:numPr>
      <w:spacing w:before="40"/>
      <w:outlineLvl w:val="7"/>
    </w:pPr>
    <w:rPr>
      <w:rFonts w:asciiTheme="majorHAnsi" w:eastAsiaTheme="majorEastAsia" w:hAnsiTheme="majorHAnsi" w:cstheme="majorBidi"/>
      <w:color w:val="005AA3" w:themeColor="text1" w:themeTint="D8"/>
      <w:sz w:val="21"/>
      <w:szCs w:val="21"/>
    </w:rPr>
  </w:style>
  <w:style w:type="paragraph" w:styleId="Nadpis9">
    <w:name w:val="heading 9"/>
    <w:basedOn w:val="Normln"/>
    <w:next w:val="Normln"/>
    <w:link w:val="Nadpis9Char"/>
    <w:uiPriority w:val="9"/>
    <w:semiHidden/>
    <w:unhideWhenUsed/>
    <w:qFormat/>
    <w:rsid w:val="00BE39A5"/>
    <w:pPr>
      <w:keepNext/>
      <w:keepLines/>
      <w:numPr>
        <w:ilvl w:val="8"/>
        <w:numId w:val="4"/>
      </w:numPr>
      <w:spacing w:before="40"/>
      <w:outlineLvl w:val="8"/>
    </w:pPr>
    <w:rPr>
      <w:rFonts w:asciiTheme="majorHAnsi" w:eastAsiaTheme="majorEastAsia" w:hAnsiTheme="majorHAnsi" w:cstheme="majorBidi"/>
      <w:i/>
      <w:iCs/>
      <w:color w:val="005AA3"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slovanseznam">
    <w:name w:val="List Number"/>
    <w:basedOn w:val="Normln"/>
    <w:rsid w:val="008524B9"/>
    <w:pPr>
      <w:numPr>
        <w:numId w:val="1"/>
      </w:numPr>
    </w:pPr>
  </w:style>
  <w:style w:type="paragraph" w:styleId="Nzev">
    <w:name w:val="Title"/>
    <w:aliases w:val="Zvýraznění"/>
    <w:basedOn w:val="zdraznn"/>
    <w:next w:val="Normln"/>
    <w:link w:val="NzevChar"/>
    <w:qFormat/>
    <w:rsid w:val="00D86C0C"/>
    <w:pPr>
      <w:pBdr>
        <w:left w:val="single" w:sz="36" w:space="8" w:color="71C5E8"/>
      </w:pBdr>
      <w:ind w:left="255"/>
    </w:pPr>
  </w:style>
  <w:style w:type="paragraph" w:styleId="slovanseznam2">
    <w:name w:val="List Number 2"/>
    <w:basedOn w:val="Normln"/>
    <w:rsid w:val="008524B9"/>
    <w:pPr>
      <w:numPr>
        <w:ilvl w:val="1"/>
        <w:numId w:val="2"/>
      </w:numPr>
    </w:pPr>
  </w:style>
  <w:style w:type="paragraph" w:styleId="Seznamsodrkami">
    <w:name w:val="List Bullet"/>
    <w:basedOn w:val="Normln"/>
    <w:rsid w:val="008524B9"/>
    <w:pPr>
      <w:numPr>
        <w:numId w:val="3"/>
      </w:numPr>
    </w:pPr>
  </w:style>
  <w:style w:type="paragraph" w:styleId="Bezmezer">
    <w:name w:val="No Spacing"/>
    <w:link w:val="BezmezerChar"/>
    <w:uiPriority w:val="1"/>
    <w:rsid w:val="006A198E"/>
    <w:rPr>
      <w:rFonts w:asciiTheme="minorHAnsi" w:eastAsiaTheme="minorEastAsia" w:hAnsiTheme="minorHAnsi" w:cstheme="minorBidi"/>
      <w:sz w:val="22"/>
      <w:szCs w:val="22"/>
    </w:rPr>
  </w:style>
  <w:style w:type="character" w:customStyle="1" w:styleId="BezmezerChar">
    <w:name w:val="Bez mezer Char"/>
    <w:basedOn w:val="Standardnpsmoodstavce"/>
    <w:link w:val="Bezmezer"/>
    <w:uiPriority w:val="1"/>
    <w:rsid w:val="006A198E"/>
    <w:rPr>
      <w:rFonts w:asciiTheme="minorHAnsi" w:eastAsiaTheme="minorEastAsia" w:hAnsiTheme="minorHAnsi" w:cstheme="minorBidi"/>
      <w:sz w:val="22"/>
      <w:szCs w:val="22"/>
    </w:rPr>
  </w:style>
  <w:style w:type="paragraph" w:styleId="Zhlav">
    <w:name w:val="header"/>
    <w:basedOn w:val="Normln"/>
    <w:link w:val="ZhlavChar"/>
    <w:unhideWhenUsed/>
    <w:rsid w:val="008B08D7"/>
    <w:pPr>
      <w:tabs>
        <w:tab w:val="center" w:pos="4536"/>
        <w:tab w:val="right" w:pos="9072"/>
      </w:tabs>
    </w:pPr>
  </w:style>
  <w:style w:type="character" w:customStyle="1" w:styleId="ZhlavChar">
    <w:name w:val="Záhlaví Char"/>
    <w:basedOn w:val="Standardnpsmoodstavce"/>
    <w:link w:val="Zhlav"/>
    <w:rsid w:val="008B08D7"/>
    <w:rPr>
      <w:rFonts w:ascii="Arial" w:hAnsi="Arial"/>
      <w:sz w:val="22"/>
      <w:szCs w:val="24"/>
    </w:rPr>
  </w:style>
  <w:style w:type="paragraph" w:styleId="Zpat">
    <w:name w:val="footer"/>
    <w:basedOn w:val="Normln"/>
    <w:link w:val="ZpatChar"/>
    <w:uiPriority w:val="99"/>
    <w:unhideWhenUsed/>
    <w:rsid w:val="008B08D7"/>
    <w:pPr>
      <w:tabs>
        <w:tab w:val="center" w:pos="4536"/>
        <w:tab w:val="right" w:pos="9072"/>
      </w:tabs>
    </w:pPr>
  </w:style>
  <w:style w:type="character" w:customStyle="1" w:styleId="ZpatChar">
    <w:name w:val="Zápatí Char"/>
    <w:basedOn w:val="Standardnpsmoodstavce"/>
    <w:link w:val="Zpat"/>
    <w:uiPriority w:val="99"/>
    <w:rsid w:val="008B08D7"/>
    <w:rPr>
      <w:rFonts w:ascii="Arial" w:hAnsi="Arial"/>
      <w:sz w:val="22"/>
      <w:szCs w:val="24"/>
    </w:rPr>
  </w:style>
  <w:style w:type="paragraph" w:styleId="Odstavecseseznamem">
    <w:name w:val="List Paragraph"/>
    <w:aliases w:val="Odrážky"/>
    <w:basedOn w:val="Normln"/>
    <w:link w:val="OdstavecseseznamemChar"/>
    <w:uiPriority w:val="34"/>
    <w:qFormat/>
    <w:rsid w:val="0023342E"/>
    <w:pPr>
      <w:numPr>
        <w:numId w:val="8"/>
      </w:numPr>
      <w:contextualSpacing/>
    </w:pPr>
    <w:rPr>
      <w:rFonts w:cs="Arial"/>
      <w:color w:val="000000"/>
      <w:szCs w:val="21"/>
    </w:rPr>
  </w:style>
  <w:style w:type="character" w:styleId="Hypertextovodkaz">
    <w:name w:val="Hyperlink"/>
    <w:basedOn w:val="Standardnpsmoodstavce"/>
    <w:uiPriority w:val="99"/>
    <w:unhideWhenUsed/>
    <w:rsid w:val="00F75856"/>
    <w:rPr>
      <w:color w:val="003865" w:themeColor="hyperlink"/>
      <w:u w:val="single"/>
    </w:rPr>
  </w:style>
  <w:style w:type="character" w:customStyle="1" w:styleId="UnresolvedMention">
    <w:name w:val="Unresolved Mention"/>
    <w:basedOn w:val="Standardnpsmoodstavce"/>
    <w:uiPriority w:val="99"/>
    <w:semiHidden/>
    <w:unhideWhenUsed/>
    <w:rsid w:val="00F75856"/>
    <w:rPr>
      <w:color w:val="808080"/>
      <w:shd w:val="clear" w:color="auto" w:fill="E6E6E6"/>
    </w:rPr>
  </w:style>
  <w:style w:type="paragraph" w:customStyle="1" w:styleId="zdraznn">
    <w:name w:val="zdůraznění"/>
    <w:basedOn w:val="Normln"/>
    <w:next w:val="Zkladntext"/>
    <w:link w:val="zdraznnChar"/>
    <w:rsid w:val="00745841"/>
    <w:pPr>
      <w:pBdr>
        <w:left w:val="single" w:sz="36" w:space="4" w:color="71C5E8"/>
      </w:pBdr>
      <w:ind w:left="284"/>
      <w:jc w:val="left"/>
    </w:pPr>
    <w:rPr>
      <w:color w:val="003865"/>
      <w:sz w:val="24"/>
    </w:rPr>
  </w:style>
  <w:style w:type="paragraph" w:styleId="Zkladntext">
    <w:name w:val="Body Text"/>
    <w:basedOn w:val="Normln"/>
    <w:link w:val="ZkladntextChar"/>
    <w:semiHidden/>
    <w:unhideWhenUsed/>
    <w:rsid w:val="00745841"/>
    <w:pPr>
      <w:spacing w:after="120"/>
    </w:pPr>
  </w:style>
  <w:style w:type="character" w:customStyle="1" w:styleId="ZkladntextChar">
    <w:name w:val="Základní text Char"/>
    <w:basedOn w:val="Standardnpsmoodstavce"/>
    <w:link w:val="Zkladntext"/>
    <w:semiHidden/>
    <w:rsid w:val="00745841"/>
    <w:rPr>
      <w:rFonts w:ascii="Arial" w:hAnsi="Arial"/>
      <w:sz w:val="22"/>
      <w:szCs w:val="24"/>
    </w:rPr>
  </w:style>
  <w:style w:type="character" w:customStyle="1" w:styleId="zdraznnChar">
    <w:name w:val="zdůraznění Char"/>
    <w:basedOn w:val="Standardnpsmoodstavce"/>
    <w:link w:val="zdraznn"/>
    <w:rsid w:val="00745841"/>
    <w:rPr>
      <w:rFonts w:ascii="Arial" w:hAnsi="Arial" w:cs="Arial"/>
      <w:color w:val="003865"/>
      <w:sz w:val="24"/>
    </w:rPr>
  </w:style>
  <w:style w:type="paragraph" w:styleId="Podnadpis">
    <w:name w:val="Subtitle"/>
    <w:aliases w:val="Název nabídky"/>
    <w:basedOn w:val="Normln"/>
    <w:next w:val="Normln"/>
    <w:link w:val="PodnadpisChar"/>
    <w:rsid w:val="00E80808"/>
    <w:pPr>
      <w:spacing w:line="240" w:lineRule="auto"/>
      <w:jc w:val="left"/>
    </w:pPr>
    <w:rPr>
      <w:b/>
      <w:color w:val="71C5E8"/>
      <w:sz w:val="52"/>
    </w:rPr>
  </w:style>
  <w:style w:type="character" w:customStyle="1" w:styleId="PodnadpisChar">
    <w:name w:val="Podnadpis Char"/>
    <w:aliases w:val="Název nabídky Char"/>
    <w:basedOn w:val="Standardnpsmoodstavce"/>
    <w:link w:val="Podnadpis"/>
    <w:rsid w:val="00E80808"/>
    <w:rPr>
      <w:rFonts w:ascii="Arial" w:hAnsi="Arial"/>
      <w:b/>
      <w:color w:val="71C5E8"/>
      <w:sz w:val="52"/>
      <w:szCs w:val="24"/>
    </w:rPr>
  </w:style>
  <w:style w:type="paragraph" w:styleId="Nadpisobsahu">
    <w:name w:val="TOC Heading"/>
    <w:basedOn w:val="Nadpis1"/>
    <w:next w:val="Normln"/>
    <w:uiPriority w:val="39"/>
    <w:unhideWhenUsed/>
    <w:rsid w:val="00AE0061"/>
    <w:pPr>
      <w:keepNext/>
      <w:keepLines/>
      <w:spacing w:line="259" w:lineRule="auto"/>
      <w:outlineLvl w:val="9"/>
    </w:pPr>
    <w:rPr>
      <w:color w:val="003369"/>
      <w:szCs w:val="24"/>
    </w:rPr>
  </w:style>
  <w:style w:type="paragraph" w:styleId="Obsah1">
    <w:name w:val="toc 1"/>
    <w:basedOn w:val="Normln"/>
    <w:next w:val="Normln"/>
    <w:autoRedefine/>
    <w:uiPriority w:val="39"/>
    <w:unhideWhenUsed/>
    <w:rsid w:val="00F2465C"/>
    <w:pPr>
      <w:tabs>
        <w:tab w:val="left" w:pos="440"/>
        <w:tab w:val="right" w:leader="dot" w:pos="10348"/>
      </w:tabs>
      <w:spacing w:after="100"/>
    </w:pPr>
  </w:style>
  <w:style w:type="paragraph" w:styleId="Obsah2">
    <w:name w:val="toc 2"/>
    <w:basedOn w:val="Normln"/>
    <w:next w:val="Normln"/>
    <w:autoRedefine/>
    <w:uiPriority w:val="39"/>
    <w:unhideWhenUsed/>
    <w:rsid w:val="006A7175"/>
    <w:pPr>
      <w:tabs>
        <w:tab w:val="left" w:pos="880"/>
        <w:tab w:val="right" w:leader="dot" w:pos="10348"/>
      </w:tabs>
      <w:spacing w:after="100"/>
    </w:pPr>
  </w:style>
  <w:style w:type="paragraph" w:styleId="Obsah3">
    <w:name w:val="toc 3"/>
    <w:basedOn w:val="Normln"/>
    <w:next w:val="Normln"/>
    <w:autoRedefine/>
    <w:uiPriority w:val="39"/>
    <w:unhideWhenUsed/>
    <w:rsid w:val="00D316B7"/>
    <w:pPr>
      <w:tabs>
        <w:tab w:val="left" w:pos="1320"/>
        <w:tab w:val="right" w:leader="dot" w:pos="10348"/>
      </w:tabs>
      <w:spacing w:after="100"/>
    </w:pPr>
  </w:style>
  <w:style w:type="character" w:customStyle="1" w:styleId="Nadpis4Char">
    <w:name w:val="Nadpis 4 Char"/>
    <w:basedOn w:val="Standardnpsmoodstavce"/>
    <w:link w:val="Nadpis4"/>
    <w:semiHidden/>
    <w:rsid w:val="00BE39A5"/>
    <w:rPr>
      <w:rFonts w:asciiTheme="majorHAnsi" w:eastAsiaTheme="majorEastAsia" w:hAnsiTheme="majorHAnsi" w:cstheme="majorBidi"/>
      <w:i/>
      <w:iCs/>
      <w:color w:val="00294B" w:themeColor="accent1" w:themeShade="BF"/>
      <w:szCs w:val="24"/>
    </w:rPr>
  </w:style>
  <w:style w:type="character" w:customStyle="1" w:styleId="Nadpis5Char">
    <w:name w:val="Nadpis 5 Char"/>
    <w:basedOn w:val="Standardnpsmoodstavce"/>
    <w:link w:val="Nadpis5"/>
    <w:uiPriority w:val="9"/>
    <w:semiHidden/>
    <w:rsid w:val="00BE39A5"/>
    <w:rPr>
      <w:rFonts w:asciiTheme="majorHAnsi" w:eastAsiaTheme="majorEastAsia" w:hAnsiTheme="majorHAnsi" w:cstheme="majorBidi"/>
      <w:color w:val="00294B" w:themeColor="accent1" w:themeShade="BF"/>
      <w:szCs w:val="24"/>
    </w:rPr>
  </w:style>
  <w:style w:type="character" w:customStyle="1" w:styleId="Nadpis6Char">
    <w:name w:val="Nadpis 6 Char"/>
    <w:basedOn w:val="Standardnpsmoodstavce"/>
    <w:link w:val="Nadpis6"/>
    <w:uiPriority w:val="9"/>
    <w:semiHidden/>
    <w:rsid w:val="00BE39A5"/>
    <w:rPr>
      <w:rFonts w:asciiTheme="majorHAnsi" w:eastAsiaTheme="majorEastAsia" w:hAnsiTheme="majorHAnsi" w:cstheme="majorBidi"/>
      <w:color w:val="001B32" w:themeColor="accent1" w:themeShade="7F"/>
      <w:szCs w:val="24"/>
    </w:rPr>
  </w:style>
  <w:style w:type="character" w:customStyle="1" w:styleId="Nadpis7Char">
    <w:name w:val="Nadpis 7 Char"/>
    <w:basedOn w:val="Standardnpsmoodstavce"/>
    <w:link w:val="Nadpis7"/>
    <w:uiPriority w:val="9"/>
    <w:semiHidden/>
    <w:rsid w:val="00BE39A5"/>
    <w:rPr>
      <w:rFonts w:asciiTheme="majorHAnsi" w:eastAsiaTheme="majorEastAsia" w:hAnsiTheme="majorHAnsi" w:cstheme="majorBidi"/>
      <w:i/>
      <w:iCs/>
      <w:color w:val="001B32" w:themeColor="accent1" w:themeShade="7F"/>
      <w:szCs w:val="24"/>
    </w:rPr>
  </w:style>
  <w:style w:type="character" w:customStyle="1" w:styleId="Nadpis8Char">
    <w:name w:val="Nadpis 8 Char"/>
    <w:basedOn w:val="Standardnpsmoodstavce"/>
    <w:link w:val="Nadpis8"/>
    <w:uiPriority w:val="9"/>
    <w:semiHidden/>
    <w:rsid w:val="00BE39A5"/>
    <w:rPr>
      <w:rFonts w:asciiTheme="majorHAnsi" w:eastAsiaTheme="majorEastAsia" w:hAnsiTheme="majorHAnsi" w:cstheme="majorBidi"/>
      <w:color w:val="005AA3" w:themeColor="text1" w:themeTint="D8"/>
      <w:sz w:val="21"/>
      <w:szCs w:val="21"/>
    </w:rPr>
  </w:style>
  <w:style w:type="character" w:customStyle="1" w:styleId="Nadpis9Char">
    <w:name w:val="Nadpis 9 Char"/>
    <w:basedOn w:val="Standardnpsmoodstavce"/>
    <w:link w:val="Nadpis9"/>
    <w:uiPriority w:val="9"/>
    <w:semiHidden/>
    <w:rsid w:val="00BE39A5"/>
    <w:rPr>
      <w:rFonts w:asciiTheme="majorHAnsi" w:eastAsiaTheme="majorEastAsia" w:hAnsiTheme="majorHAnsi" w:cstheme="majorBidi"/>
      <w:i/>
      <w:iCs/>
      <w:color w:val="005AA3" w:themeColor="text1" w:themeTint="D8"/>
      <w:sz w:val="21"/>
      <w:szCs w:val="21"/>
    </w:rPr>
  </w:style>
  <w:style w:type="character" w:styleId="Siln">
    <w:name w:val="Strong"/>
    <w:rsid w:val="002A1EAC"/>
    <w:rPr>
      <w:color w:val="auto"/>
      <w:sz w:val="20"/>
    </w:rPr>
  </w:style>
  <w:style w:type="paragraph" w:customStyle="1" w:styleId="Nzevgrafu">
    <w:name w:val="Název grafu"/>
    <w:basedOn w:val="Nzev"/>
    <w:link w:val="NzevgrafuChar"/>
    <w:qFormat/>
    <w:rsid w:val="00B225EB"/>
    <w:pPr>
      <w:pBdr>
        <w:left w:val="none" w:sz="0" w:space="0" w:color="auto"/>
      </w:pBdr>
      <w:tabs>
        <w:tab w:val="left" w:pos="284"/>
      </w:tabs>
      <w:spacing w:after="120"/>
      <w:ind w:left="0"/>
    </w:pPr>
    <w:rPr>
      <w:b/>
    </w:rPr>
  </w:style>
  <w:style w:type="character" w:customStyle="1" w:styleId="NzevChar">
    <w:name w:val="Název Char"/>
    <w:aliases w:val="Zvýraznění Char"/>
    <w:basedOn w:val="zdraznnChar"/>
    <w:link w:val="Nzev"/>
    <w:rsid w:val="00D86C0C"/>
    <w:rPr>
      <w:rFonts w:ascii="Arial" w:hAnsi="Arial" w:cs="Arial"/>
      <w:color w:val="003865"/>
      <w:sz w:val="24"/>
    </w:rPr>
  </w:style>
  <w:style w:type="character" w:customStyle="1" w:styleId="NzevgrafuChar">
    <w:name w:val="Název grafu Char"/>
    <w:basedOn w:val="NzevChar"/>
    <w:link w:val="Nzevgrafu"/>
    <w:rsid w:val="00B225EB"/>
    <w:rPr>
      <w:rFonts w:ascii="Arial" w:hAnsi="Arial" w:cs="Arial"/>
      <w:b/>
      <w:color w:val="003865"/>
      <w:sz w:val="24"/>
    </w:rPr>
  </w:style>
  <w:style w:type="paragraph" w:customStyle="1" w:styleId="selnseznam">
    <w:name w:val="Číselný seznam"/>
    <w:basedOn w:val="Odstavecseseznamem"/>
    <w:link w:val="selnseznamChar"/>
    <w:qFormat/>
    <w:rsid w:val="009B7405"/>
    <w:pPr>
      <w:numPr>
        <w:numId w:val="5"/>
      </w:numPr>
      <w:ind w:left="284" w:hanging="284"/>
    </w:pPr>
  </w:style>
  <w:style w:type="table" w:customStyle="1" w:styleId="Tabulka1">
    <w:name w:val="Tabulka 1"/>
    <w:basedOn w:val="Normlntabulka"/>
    <w:uiPriority w:val="99"/>
    <w:rsid w:val="001B2F72"/>
    <w:tblPr>
      <w:tblInd w:w="113" w:type="dxa"/>
    </w:tblPr>
    <w:tcPr>
      <w:vAlign w:val="center"/>
    </w:tcPr>
  </w:style>
  <w:style w:type="character" w:customStyle="1" w:styleId="OdstavecseseznamemChar">
    <w:name w:val="Odstavec se seznamem Char"/>
    <w:aliases w:val="Odrážky Char"/>
    <w:basedOn w:val="Standardnpsmoodstavce"/>
    <w:link w:val="Odstavecseseznamem"/>
    <w:uiPriority w:val="34"/>
    <w:rsid w:val="0023342E"/>
    <w:rPr>
      <w:rFonts w:ascii="Arial" w:hAnsi="Arial" w:cs="Arial"/>
      <w:color w:val="000000"/>
      <w:szCs w:val="21"/>
    </w:rPr>
  </w:style>
  <w:style w:type="character" w:customStyle="1" w:styleId="selnseznamChar">
    <w:name w:val="Číselný seznam Char"/>
    <w:basedOn w:val="OdstavecseseznamemChar"/>
    <w:link w:val="selnseznam"/>
    <w:rsid w:val="009B7405"/>
    <w:rPr>
      <w:rFonts w:ascii="Arial" w:hAnsi="Arial" w:cs="Arial"/>
      <w:color w:val="000000"/>
      <w:szCs w:val="21"/>
    </w:rPr>
  </w:style>
  <w:style w:type="table" w:styleId="Mkatabulky">
    <w:name w:val="Table Grid"/>
    <w:aliases w:val="RENOMIA"/>
    <w:basedOn w:val="Normlntabulka"/>
    <w:rsid w:val="002856B6"/>
    <w:rPr>
      <w:rFonts w:ascii="Arial" w:hAnsi="Arial"/>
      <w:sz w:val="18"/>
    </w:rPr>
    <w:tblPr>
      <w:tblBorders>
        <w:top w:val="single" w:sz="4" w:space="0" w:color="auto"/>
        <w:bottom w:val="single" w:sz="4" w:space="0" w:color="auto"/>
        <w:insideH w:val="single" w:sz="4" w:space="0" w:color="auto"/>
        <w:insideV w:val="single" w:sz="4" w:space="0" w:color="auto"/>
      </w:tblBorders>
    </w:tblPr>
    <w:tblStylePr w:type="firstRow">
      <w:rPr>
        <w:rFonts w:ascii="Arial" w:hAnsi="Arial"/>
        <w:color w:val="FFFFFF" w:themeColor="background1"/>
        <w:sz w:val="18"/>
        <w:u w:val="none"/>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003865"/>
      </w:tcPr>
    </w:tblStylePr>
    <w:tblStylePr w:type="lastRow">
      <w:rPr>
        <w:color w:val="FFFFFF" w:themeColor="background1"/>
      </w:rPr>
      <w:tblPr/>
      <w:tcPr>
        <w:tc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cBorders>
        <w:shd w:val="clear" w:color="auto" w:fill="71C5E8"/>
      </w:tcPr>
    </w:tblStylePr>
  </w:style>
  <w:style w:type="table" w:styleId="Tabulkasmkou4zvraznn5">
    <w:name w:val="Grid Table 4 Accent 5"/>
    <w:basedOn w:val="Normlntabulka"/>
    <w:uiPriority w:val="49"/>
    <w:rsid w:val="00A137CE"/>
    <w:tblPr>
      <w:tblStyleRowBandSize w:val="1"/>
      <w:tblStyleColBandSize w:val="1"/>
      <w:tblBorders>
        <w:top w:val="single" w:sz="4" w:space="0" w:color="F1F9FD" w:themeColor="accent5" w:themeTint="99"/>
        <w:left w:val="single" w:sz="4" w:space="0" w:color="F1F9FD" w:themeColor="accent5" w:themeTint="99"/>
        <w:bottom w:val="single" w:sz="4" w:space="0" w:color="F1F9FD" w:themeColor="accent5" w:themeTint="99"/>
        <w:right w:val="single" w:sz="4" w:space="0" w:color="F1F9FD" w:themeColor="accent5" w:themeTint="99"/>
        <w:insideH w:val="single" w:sz="4" w:space="0" w:color="F1F9FD" w:themeColor="accent5" w:themeTint="99"/>
        <w:insideV w:val="single" w:sz="4" w:space="0" w:color="F1F9FD" w:themeColor="accent5" w:themeTint="99"/>
      </w:tblBorders>
    </w:tblPr>
    <w:tblStylePr w:type="firstRow">
      <w:rPr>
        <w:b/>
        <w:bCs/>
        <w:color w:val="FFFFFF" w:themeColor="background1"/>
      </w:rPr>
      <w:tblPr/>
      <w:tcPr>
        <w:tcBorders>
          <w:top w:val="single" w:sz="4" w:space="0" w:color="E8F6FC" w:themeColor="accent5"/>
          <w:left w:val="single" w:sz="4" w:space="0" w:color="E8F6FC" w:themeColor="accent5"/>
          <w:bottom w:val="single" w:sz="4" w:space="0" w:color="E8F6FC" w:themeColor="accent5"/>
          <w:right w:val="single" w:sz="4" w:space="0" w:color="E8F6FC" w:themeColor="accent5"/>
          <w:insideH w:val="nil"/>
          <w:insideV w:val="nil"/>
        </w:tcBorders>
        <w:shd w:val="clear" w:color="auto" w:fill="E8F6FC" w:themeFill="accent5"/>
      </w:tcPr>
    </w:tblStylePr>
    <w:tblStylePr w:type="lastRow">
      <w:rPr>
        <w:b/>
        <w:bCs/>
      </w:rPr>
      <w:tblPr/>
      <w:tcPr>
        <w:tcBorders>
          <w:top w:val="double" w:sz="4" w:space="0" w:color="E8F6FC" w:themeColor="accent5"/>
        </w:tcBorders>
      </w:tcPr>
    </w:tblStylePr>
    <w:tblStylePr w:type="firstCol">
      <w:rPr>
        <w:b/>
        <w:bCs/>
      </w:rPr>
    </w:tblStylePr>
    <w:tblStylePr w:type="lastCol">
      <w:rPr>
        <w:b/>
        <w:bCs/>
      </w:rPr>
    </w:tblStylePr>
    <w:tblStylePr w:type="band1Vert">
      <w:tblPr/>
      <w:tcPr>
        <w:shd w:val="clear" w:color="auto" w:fill="FAFDFE" w:themeFill="accent5" w:themeFillTint="33"/>
      </w:tcPr>
    </w:tblStylePr>
    <w:tblStylePr w:type="band1Horz">
      <w:tblPr/>
      <w:tcPr>
        <w:shd w:val="clear" w:color="auto" w:fill="FAFDFE" w:themeFill="accent5" w:themeFillTint="33"/>
      </w:tcPr>
    </w:tblStylePr>
  </w:style>
  <w:style w:type="paragraph" w:styleId="Textbubliny">
    <w:name w:val="Balloon Text"/>
    <w:basedOn w:val="Normln"/>
    <w:link w:val="TextbublinyChar"/>
    <w:semiHidden/>
    <w:unhideWhenUsed/>
    <w:rsid w:val="00E80808"/>
    <w:pPr>
      <w:spacing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E80808"/>
    <w:rPr>
      <w:rFonts w:ascii="Segoe UI" w:hAnsi="Segoe UI" w:cs="Segoe UI"/>
      <w:sz w:val="18"/>
      <w:szCs w:val="18"/>
    </w:rPr>
  </w:style>
  <w:style w:type="paragraph" w:customStyle="1" w:styleId="n20">
    <w:name w:val="n2"/>
    <w:basedOn w:val="Nadpis3"/>
    <w:rsid w:val="00490EBE"/>
    <w:pPr>
      <w:keepNext/>
      <w:spacing w:before="280" w:after="60" w:line="280" w:lineRule="atLeast"/>
      <w:ind w:left="709" w:hanging="720"/>
      <w:contextualSpacing w:val="0"/>
      <w:jc w:val="both"/>
    </w:pPr>
    <w:rPr>
      <w:b w:val="0"/>
      <w:bCs/>
      <w:caps/>
      <w:color w:val="283164"/>
      <w:sz w:val="28"/>
      <w:szCs w:val="26"/>
      <w:lang w:eastAsia="en-US"/>
    </w:rPr>
  </w:style>
  <w:style w:type="paragraph" w:customStyle="1" w:styleId="N2">
    <w:name w:val="N2"/>
    <w:basedOn w:val="Nadpis2"/>
    <w:rsid w:val="00490EBE"/>
    <w:pPr>
      <w:keepNext/>
      <w:numPr>
        <w:numId w:val="6"/>
      </w:numPr>
      <w:pBdr>
        <w:bottom w:val="single" w:sz="4" w:space="3" w:color="00B0F0"/>
      </w:pBdr>
      <w:spacing w:before="280" w:after="120" w:line="280" w:lineRule="atLeast"/>
      <w:ind w:left="284" w:hanging="357"/>
    </w:pPr>
    <w:rPr>
      <w:b w:val="0"/>
      <w:bCs/>
      <w:iCs/>
      <w:caps/>
      <w:noProof/>
      <w:color w:val="283164"/>
      <w:sz w:val="32"/>
      <w:szCs w:val="28"/>
      <w:lang w:eastAsia="en-US"/>
    </w:rPr>
  </w:style>
  <w:style w:type="paragraph" w:customStyle="1" w:styleId="N1">
    <w:name w:val="N1"/>
    <w:basedOn w:val="Nadpis1"/>
    <w:rsid w:val="00490EBE"/>
    <w:pPr>
      <w:widowControl w:val="0"/>
      <w:numPr>
        <w:numId w:val="7"/>
      </w:numPr>
      <w:pBdr>
        <w:bottom w:val="single" w:sz="4" w:space="3" w:color="00B0F0"/>
      </w:pBdr>
      <w:tabs>
        <w:tab w:val="num" w:pos="360"/>
      </w:tabs>
      <w:spacing w:before="120" w:line="500" w:lineRule="atLeast"/>
      <w:ind w:left="0" w:firstLine="0"/>
    </w:pPr>
    <w:rPr>
      <w:b w:val="0"/>
      <w:bCs/>
      <w:color w:val="283164"/>
      <w:kern w:val="32"/>
      <w:sz w:val="40"/>
      <w:szCs w:val="32"/>
      <w:lang w:eastAsia="en-US"/>
    </w:rPr>
  </w:style>
  <w:style w:type="paragraph" w:customStyle="1" w:styleId="Default">
    <w:name w:val="Default"/>
    <w:rsid w:val="00A32780"/>
    <w:pPr>
      <w:autoSpaceDE w:val="0"/>
      <w:autoSpaceDN w:val="0"/>
      <w:adjustRightInd w:val="0"/>
    </w:pPr>
    <w:rPr>
      <w:rFonts w:ascii="Tahoma" w:eastAsia="Calibri" w:hAnsi="Tahoma" w:cs="Tahoma"/>
      <w:color w:val="000000"/>
      <w:sz w:val="24"/>
      <w:szCs w:val="24"/>
    </w:rPr>
  </w:style>
  <w:style w:type="table" w:customStyle="1" w:styleId="Mkatabulky1">
    <w:name w:val="Mřížka tabulky1"/>
    <w:basedOn w:val="Normlntabulka"/>
    <w:next w:val="Mkatabulky"/>
    <w:rsid w:val="00744B9E"/>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ni8">
    <w:name w:val="Normalni_8"/>
    <w:basedOn w:val="Normln"/>
    <w:link w:val="Normalni8Char"/>
    <w:rsid w:val="00B86D8F"/>
    <w:pPr>
      <w:spacing w:line="220" w:lineRule="atLeast"/>
    </w:pPr>
    <w:rPr>
      <w:rFonts w:eastAsia="Calibri"/>
      <w:sz w:val="16"/>
      <w:lang w:eastAsia="en-US"/>
    </w:rPr>
  </w:style>
  <w:style w:type="character" w:customStyle="1" w:styleId="Normalni8Char">
    <w:name w:val="Normalni_8 Char"/>
    <w:link w:val="Normalni8"/>
    <w:rsid w:val="00B86D8F"/>
    <w:rPr>
      <w:rFonts w:ascii="Arial" w:eastAsia="Calibri" w:hAnsi="Arial"/>
      <w:color w:val="000000"/>
      <w:sz w:val="16"/>
      <w:lang w:eastAsia="en-US"/>
    </w:rPr>
  </w:style>
  <w:style w:type="table" w:customStyle="1" w:styleId="Mkatabulky2">
    <w:name w:val="Mřížka tabulky2"/>
    <w:basedOn w:val="Normlntabulka"/>
    <w:next w:val="Mkatabulky"/>
    <w:rsid w:val="00953B90"/>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Zstupntext">
    <w:name w:val="Placeholder Text"/>
    <w:basedOn w:val="Standardnpsmoodstavce"/>
    <w:uiPriority w:val="99"/>
    <w:semiHidden/>
    <w:rsid w:val="003E7155"/>
    <w:rPr>
      <w:color w:val="808080"/>
    </w:rPr>
  </w:style>
  <w:style w:type="table" w:customStyle="1" w:styleId="RENOMIA2">
    <w:name w:val="RENOMIA 2"/>
    <w:basedOn w:val="Normlntabulka"/>
    <w:uiPriority w:val="99"/>
    <w:rsid w:val="00515D29"/>
    <w:rPr>
      <w:rFonts w:ascii="Arial" w:hAnsi="Arial"/>
      <w:sz w:val="18"/>
    </w:rPr>
    <w:tblPr>
      <w:tblBorders>
        <w:bottom w:val="single" w:sz="4" w:space="0" w:color="003865"/>
        <w:insideH w:val="single" w:sz="4" w:space="0" w:color="003865"/>
        <w:insideV w:val="single" w:sz="4" w:space="0" w:color="003865"/>
      </w:tblBorders>
    </w:tblPr>
    <w:tblStylePr w:type="firstRow">
      <w:pPr>
        <w:wordWrap/>
        <w:spacing w:beforeLines="0" w:before="240" w:beforeAutospacing="0" w:afterLines="0" w:after="0" w:afterAutospacing="0"/>
        <w:jc w:val="left"/>
      </w:pPr>
      <w:rPr>
        <w:rFonts w:ascii="Arial" w:hAnsi="Arial"/>
        <w:sz w:val="18"/>
      </w:rPr>
      <w:tblPr/>
      <w:tcPr>
        <w:tcBorders>
          <w:top w:val="nil"/>
          <w:bottom w:val="single" w:sz="6" w:space="0" w:color="FFFFFF"/>
          <w:insideH w:val="single" w:sz="6" w:space="0" w:color="FFFFFF"/>
          <w:insideV w:val="single" w:sz="6" w:space="0" w:color="FFFFFF"/>
        </w:tcBorders>
        <w:shd w:val="clear" w:color="auto" w:fill="003865"/>
      </w:tcPr>
    </w:tblStylePr>
    <w:tblStylePr w:type="lastRow">
      <w:pPr>
        <w:wordWrap/>
        <w:spacing w:beforeLines="0" w:before="120" w:beforeAutospacing="0"/>
        <w:jc w:val="left"/>
      </w:pPr>
      <w:rPr>
        <w:rFonts w:ascii="Arial" w:hAnsi="Arial"/>
        <w:b/>
        <w:color w:val="003865"/>
        <w:sz w:val="18"/>
      </w:rPr>
      <w:tblPr/>
      <w:tcPr>
        <w:tcBorders>
          <w:top w:val="single" w:sz="6" w:space="0" w:color="003865"/>
          <w:bottom w:val="nil"/>
          <w:insideH w:val="single" w:sz="6" w:space="0" w:color="003865"/>
          <w:insideV w:val="single" w:sz="6" w:space="0" w:color="003865"/>
        </w:tcBorders>
        <w:shd w:val="clear" w:color="auto" w:fill="71C5E8"/>
      </w:tcPr>
    </w:tblStylePr>
    <w:tblStylePr w:type="firstCol">
      <w:tblPr/>
      <w:tcPr>
        <w:tcBorders>
          <w:right w:val="single" w:sz="6" w:space="0" w:color="FFFFFF"/>
          <w:insideH w:val="single" w:sz="6" w:space="0" w:color="FFFFFF"/>
          <w:insideV w:val="single" w:sz="6" w:space="0" w:color="FFFFFF"/>
        </w:tcBorders>
        <w:shd w:val="clear" w:color="auto" w:fill="003865"/>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735579">
      <w:bodyDiv w:val="1"/>
      <w:marLeft w:val="0"/>
      <w:marRight w:val="0"/>
      <w:marTop w:val="0"/>
      <w:marBottom w:val="0"/>
      <w:divBdr>
        <w:top w:val="none" w:sz="0" w:space="0" w:color="auto"/>
        <w:left w:val="none" w:sz="0" w:space="0" w:color="auto"/>
        <w:bottom w:val="none" w:sz="0" w:space="0" w:color="auto"/>
        <w:right w:val="none" w:sz="0" w:space="0" w:color="auto"/>
      </w:divBdr>
    </w:div>
    <w:div w:id="433281723">
      <w:bodyDiv w:val="1"/>
      <w:marLeft w:val="0"/>
      <w:marRight w:val="0"/>
      <w:marTop w:val="0"/>
      <w:marBottom w:val="0"/>
      <w:divBdr>
        <w:top w:val="none" w:sz="0" w:space="0" w:color="auto"/>
        <w:left w:val="none" w:sz="0" w:space="0" w:color="auto"/>
        <w:bottom w:val="none" w:sz="0" w:space="0" w:color="auto"/>
        <w:right w:val="none" w:sz="0" w:space="0" w:color="auto"/>
      </w:divBdr>
    </w:div>
    <w:div w:id="533420802">
      <w:bodyDiv w:val="1"/>
      <w:marLeft w:val="0"/>
      <w:marRight w:val="0"/>
      <w:marTop w:val="0"/>
      <w:marBottom w:val="0"/>
      <w:divBdr>
        <w:top w:val="none" w:sz="0" w:space="0" w:color="auto"/>
        <w:left w:val="none" w:sz="0" w:space="0" w:color="auto"/>
        <w:bottom w:val="none" w:sz="0" w:space="0" w:color="auto"/>
        <w:right w:val="none" w:sz="0" w:space="0" w:color="auto"/>
      </w:divBdr>
    </w:div>
    <w:div w:id="885340289">
      <w:bodyDiv w:val="1"/>
      <w:marLeft w:val="0"/>
      <w:marRight w:val="0"/>
      <w:marTop w:val="0"/>
      <w:marBottom w:val="0"/>
      <w:divBdr>
        <w:top w:val="none" w:sz="0" w:space="0" w:color="auto"/>
        <w:left w:val="none" w:sz="0" w:space="0" w:color="auto"/>
        <w:bottom w:val="none" w:sz="0" w:space="0" w:color="auto"/>
        <w:right w:val="none" w:sz="0" w:space="0" w:color="auto"/>
      </w:divBdr>
    </w:div>
    <w:div w:id="1021274970">
      <w:bodyDiv w:val="1"/>
      <w:marLeft w:val="0"/>
      <w:marRight w:val="0"/>
      <w:marTop w:val="0"/>
      <w:marBottom w:val="0"/>
      <w:divBdr>
        <w:top w:val="none" w:sz="0" w:space="0" w:color="auto"/>
        <w:left w:val="none" w:sz="0" w:space="0" w:color="auto"/>
        <w:bottom w:val="none" w:sz="0" w:space="0" w:color="auto"/>
        <w:right w:val="none" w:sz="0" w:space="0" w:color="auto"/>
      </w:divBdr>
    </w:div>
    <w:div w:id="1639459184">
      <w:bodyDiv w:val="1"/>
      <w:marLeft w:val="0"/>
      <w:marRight w:val="0"/>
      <w:marTop w:val="0"/>
      <w:marBottom w:val="0"/>
      <w:divBdr>
        <w:top w:val="none" w:sz="0" w:space="0" w:color="auto"/>
        <w:left w:val="none" w:sz="0" w:space="0" w:color="auto"/>
        <w:bottom w:val="none" w:sz="0" w:space="0" w:color="auto"/>
        <w:right w:val="none" w:sz="0" w:space="0" w:color="auto"/>
      </w:divBdr>
    </w:div>
    <w:div w:id="1640914138">
      <w:bodyDiv w:val="1"/>
      <w:marLeft w:val="0"/>
      <w:marRight w:val="0"/>
      <w:marTop w:val="0"/>
      <w:marBottom w:val="0"/>
      <w:divBdr>
        <w:top w:val="none" w:sz="0" w:space="0" w:color="auto"/>
        <w:left w:val="none" w:sz="0" w:space="0" w:color="auto"/>
        <w:bottom w:val="none" w:sz="0" w:space="0" w:color="auto"/>
        <w:right w:val="none" w:sz="0" w:space="0" w:color="auto"/>
      </w:divBdr>
    </w:div>
    <w:div w:id="1690251598">
      <w:bodyDiv w:val="1"/>
      <w:marLeft w:val="0"/>
      <w:marRight w:val="0"/>
      <w:marTop w:val="0"/>
      <w:marBottom w:val="0"/>
      <w:divBdr>
        <w:top w:val="none" w:sz="0" w:space="0" w:color="auto"/>
        <w:left w:val="none" w:sz="0" w:space="0" w:color="auto"/>
        <w:bottom w:val="none" w:sz="0" w:space="0" w:color="auto"/>
        <w:right w:val="none" w:sz="0" w:space="0" w:color="auto"/>
      </w:divBdr>
    </w:div>
    <w:div w:id="1780485534">
      <w:bodyDiv w:val="1"/>
      <w:marLeft w:val="0"/>
      <w:marRight w:val="0"/>
      <w:marTop w:val="0"/>
      <w:marBottom w:val="0"/>
      <w:divBdr>
        <w:top w:val="none" w:sz="0" w:space="0" w:color="auto"/>
        <w:left w:val="none" w:sz="0" w:space="0" w:color="auto"/>
        <w:bottom w:val="none" w:sz="0" w:space="0" w:color="auto"/>
        <w:right w:val="none" w:sz="0" w:space="0" w:color="auto"/>
      </w:divBdr>
    </w:div>
    <w:div w:id="1979528112">
      <w:bodyDiv w:val="1"/>
      <w:marLeft w:val="0"/>
      <w:marRight w:val="0"/>
      <w:marTop w:val="0"/>
      <w:marBottom w:val="0"/>
      <w:divBdr>
        <w:top w:val="none" w:sz="0" w:space="0" w:color="auto"/>
        <w:left w:val="none" w:sz="0" w:space="0" w:color="auto"/>
        <w:bottom w:val="none" w:sz="0" w:space="0" w:color="auto"/>
        <w:right w:val="none" w:sz="0" w:space="0" w:color="auto"/>
      </w:divBdr>
    </w:div>
    <w:div w:id="2065981894">
      <w:bodyDiv w:val="1"/>
      <w:marLeft w:val="0"/>
      <w:marRight w:val="0"/>
      <w:marTop w:val="0"/>
      <w:marBottom w:val="0"/>
      <w:divBdr>
        <w:top w:val="none" w:sz="0" w:space="0" w:color="auto"/>
        <w:left w:val="none" w:sz="0" w:space="0" w:color="auto"/>
        <w:bottom w:val="none" w:sz="0" w:space="0" w:color="auto"/>
        <w:right w:val="none" w:sz="0" w:space="0" w:color="auto"/>
      </w:divBdr>
    </w:div>
    <w:div w:id="2079592218">
      <w:bodyDiv w:val="1"/>
      <w:marLeft w:val="0"/>
      <w:marRight w:val="0"/>
      <w:marTop w:val="0"/>
      <w:marBottom w:val="0"/>
      <w:divBdr>
        <w:top w:val="none" w:sz="0" w:space="0" w:color="auto"/>
        <w:left w:val="none" w:sz="0" w:space="0" w:color="auto"/>
        <w:bottom w:val="none" w:sz="0" w:space="0" w:color="auto"/>
        <w:right w:val="none" w:sz="0" w:space="0" w:color="auto"/>
      </w:divBdr>
    </w:div>
    <w:div w:id="2085949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Motiv sady Office">
  <a:themeElements>
    <a:clrScheme name="RENOMIA">
      <a:dk1>
        <a:srgbClr val="003865"/>
      </a:dk1>
      <a:lt1>
        <a:sysClr val="window" lastClr="FFFFFF"/>
      </a:lt1>
      <a:dk2>
        <a:srgbClr val="71C5E8"/>
      </a:dk2>
      <a:lt2>
        <a:srgbClr val="FFFFFF"/>
      </a:lt2>
      <a:accent1>
        <a:srgbClr val="003865"/>
      </a:accent1>
      <a:accent2>
        <a:srgbClr val="71C5E8"/>
      </a:accent2>
      <a:accent3>
        <a:srgbClr val="93D3ED"/>
      </a:accent3>
      <a:accent4>
        <a:srgbClr val="BEE5F4"/>
      </a:accent4>
      <a:accent5>
        <a:srgbClr val="E8F6FC"/>
      </a:accent5>
      <a:accent6>
        <a:srgbClr val="EEF8FC"/>
      </a:accent6>
      <a:hlink>
        <a:srgbClr val="003865"/>
      </a:hlink>
      <a:folHlink>
        <a:srgbClr val="954F72"/>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38100">
          <a:solidFill>
            <a:srgbClr val="71C5E8"/>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7D793D5A5F9740934F1FB4D608BC0B" ma:contentTypeVersion="16" ma:contentTypeDescription="Vytvoří nový dokument" ma:contentTypeScope="" ma:versionID="4e8988fefb57fccd00c7704726a70c34">
  <xsd:schema xmlns:xsd="http://www.w3.org/2001/XMLSchema" xmlns:xs="http://www.w3.org/2001/XMLSchema" xmlns:p="http://schemas.microsoft.com/office/2006/metadata/properties" xmlns:ns2="44eebfc2-dba9-490f-a426-06bdd91898e6" xmlns:ns3="0c8c0d37-2bee-48b9-a3af-2a8749a2fbd1" targetNamespace="http://schemas.microsoft.com/office/2006/metadata/properties" ma:root="true" ma:fieldsID="93c2cff969d46002bfa1f2e9e6242b18" ns2:_="" ns3:_="">
    <xsd:import namespace="44eebfc2-dba9-490f-a426-06bdd91898e6"/>
    <xsd:import namespace="0c8c0d37-2bee-48b9-a3af-2a8749a2fbd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bfc2-dba9-490f-a426-06bdd91898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5813b425-8769-472e-9ed0-56c4258d7c6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c8c0d37-2bee-48b9-a3af-2a8749a2fbd1"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26b4ed78-8192-4a6c-b518-fdbff58809a1}" ma:internalName="TaxCatchAll" ma:showField="CatchAllData" ma:web="0c8c0d37-2bee-48b9-a3af-2a8749a2fb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D3AD1-BCFF-4D24-BB66-E56762049C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bfc2-dba9-490f-a426-06bdd91898e6"/>
    <ds:schemaRef ds:uri="0c8c0d37-2bee-48b9-a3af-2a8749a2f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E058BA-0664-4F2A-B1E6-E4BF26148FBF}">
  <ds:schemaRefs>
    <ds:schemaRef ds:uri="http://schemas.microsoft.com/sharepoint/v3/contenttype/forms"/>
  </ds:schemaRefs>
</ds:datastoreItem>
</file>

<file path=customXml/itemProps3.xml><?xml version="1.0" encoding="utf-8"?>
<ds:datastoreItem xmlns:ds="http://schemas.openxmlformats.org/officeDocument/2006/customXml" ds:itemID="{89F4B4AE-9DF9-499C-90EA-86C2D6A05F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7</Pages>
  <Words>2392</Words>
  <Characters>14117</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Prášek Filip</dc:creator>
  <cp:keywords/>
  <dc:description/>
  <cp:lastModifiedBy>Bena Marek</cp:lastModifiedBy>
  <cp:revision>20</cp:revision>
  <cp:lastPrinted>2018-04-27T13:48:00Z</cp:lastPrinted>
  <dcterms:created xsi:type="dcterms:W3CDTF">2023-08-23T13:26:00Z</dcterms:created>
  <dcterms:modified xsi:type="dcterms:W3CDTF">2024-04-03T10:06:00Z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d283cd4-40d8-4b4e-b666-5881e4d226e3_Enabled">
    <vt:lpwstr>true</vt:lpwstr>
  </property>
  <property fmtid="{D5CDD505-2E9C-101B-9397-08002B2CF9AE}" pid="3" name="MSIP_Label_8d283cd4-40d8-4b4e-b666-5881e4d226e3_SetDate">
    <vt:lpwstr>2023-08-23T13:49:41Z</vt:lpwstr>
  </property>
  <property fmtid="{D5CDD505-2E9C-101B-9397-08002B2CF9AE}" pid="4" name="MSIP_Label_8d283cd4-40d8-4b4e-b666-5881e4d226e3_Method">
    <vt:lpwstr>Standard</vt:lpwstr>
  </property>
  <property fmtid="{D5CDD505-2E9C-101B-9397-08002B2CF9AE}" pid="5" name="MSIP_Label_8d283cd4-40d8-4b4e-b666-5881e4d226e3_Name">
    <vt:lpwstr>Public</vt:lpwstr>
  </property>
  <property fmtid="{D5CDD505-2E9C-101B-9397-08002B2CF9AE}" pid="6" name="MSIP_Label_8d283cd4-40d8-4b4e-b666-5881e4d226e3_SiteId">
    <vt:lpwstr>8b52ecaa-f734-4a0c-9b2d-ab31beeb4028</vt:lpwstr>
  </property>
  <property fmtid="{D5CDD505-2E9C-101B-9397-08002B2CF9AE}" pid="7" name="MSIP_Label_8d283cd4-40d8-4b4e-b666-5881e4d226e3_ActionId">
    <vt:lpwstr>cd56592d-413d-4ce9-a3b7-dd4a5584dbe0</vt:lpwstr>
  </property>
  <property fmtid="{D5CDD505-2E9C-101B-9397-08002B2CF9AE}" pid="8" name="MSIP_Label_8d283cd4-40d8-4b4e-b666-5881e4d226e3_ContentBits">
    <vt:lpwstr>0</vt:lpwstr>
  </property>
</Properties>
</file>